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</w:t>
            </w:r>
            <w:proofErr w:type="spellStart"/>
            <w:r w:rsidRPr="00BD5345">
              <w:rPr>
                <w:rFonts w:eastAsia="Times New Roman" w:cs="Times New Roman"/>
              </w:rPr>
              <w:t>BuchkowskiR</w:t>
            </w:r>
            <w:proofErr w:type="spellEnd"/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7B725D48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May</w:t>
      </w:r>
      <w:r w:rsidR="005D08E9">
        <w:t xml:space="preserve">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32684FA1" w14:textId="6AF4D070" w:rsidR="00B11D40" w:rsidRPr="00B11D40" w:rsidRDefault="00B11D40" w:rsidP="00B11D40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S.J. Leroux, O.J. Schmitz. </w:t>
      </w:r>
      <w:r w:rsidR="00B944FC">
        <w:rPr>
          <w:i/>
        </w:rPr>
        <w:t>early view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  <w:r w:rsidR="00B944FC">
        <w:t xml:space="preserve">. </w:t>
      </w:r>
      <w:hyperlink r:id="rId9" w:history="1">
        <w:r w:rsidR="00B944FC" w:rsidRPr="008B0BA9">
          <w:rPr>
            <w:rStyle w:val="Hyperlink"/>
          </w:rPr>
          <w:t>https://doi.org/10.1002/ecy.2674</w:t>
        </w:r>
      </w:hyperlink>
      <w:r w:rsidR="00B944FC">
        <w:t xml:space="preserve"> </w:t>
      </w:r>
    </w:p>
    <w:p w14:paraId="727D268D" w14:textId="5AE7E88F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186ECA">
        <w:t xml:space="preserve">2019. </w:t>
      </w:r>
      <w:r w:rsidRPr="00944A87">
        <w:t>Herbivore and detritivore effects on nitrogen recy</w:t>
      </w:r>
      <w:bookmarkStart w:id="0" w:name="_GoBack"/>
      <w:bookmarkEnd w:id="0"/>
      <w:r w:rsidRPr="00944A87">
        <w:t>cling: implications for plant nitrogen uptake and growth</w:t>
      </w:r>
      <w:r>
        <w:t xml:space="preserve">. </w:t>
      </w:r>
      <w:r>
        <w:rPr>
          <w:i/>
        </w:rPr>
        <w:t>Journal of Ecology</w:t>
      </w:r>
      <w:r w:rsidR="00186ECA">
        <w:t>, 107, 963-976</w:t>
      </w:r>
      <w:r w:rsidR="00AE05B2">
        <w:t xml:space="preserve">. </w:t>
      </w:r>
      <w:hyperlink r:id="rId10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 xml:space="preserve">, Smith, J.R., </w:t>
      </w:r>
      <w:proofErr w:type="spellStart"/>
      <w:r w:rsidRPr="00E555C9">
        <w:rPr>
          <w:rFonts w:cs="Helvetica"/>
        </w:rPr>
        <w:t>Te</w:t>
      </w:r>
      <w:r w:rsidR="00493F48">
        <w:rPr>
          <w:rFonts w:cs="Helvetica"/>
        </w:rPr>
        <w:t>lthorst</w:t>
      </w:r>
      <w:proofErr w:type="spellEnd"/>
      <w:r w:rsidR="00493F48">
        <w:rPr>
          <w:rFonts w:cs="Helvetica"/>
        </w:rPr>
        <w:t>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1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0F5BAEC4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 xml:space="preserve">, Schmitz, O.J. &amp; </w:t>
      </w:r>
      <w:proofErr w:type="spellStart"/>
      <w:r w:rsidR="006A6986" w:rsidRPr="00E555C9">
        <w:t>Wieder</w:t>
      </w:r>
      <w:proofErr w:type="spellEnd"/>
      <w:r w:rsidR="006A6986" w:rsidRPr="00E555C9">
        <w:t>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https://doi.org/10.1111/ele.12712</w:t>
        </w:r>
      </w:hyperlink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3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lastRenderedPageBreak/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4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 xml:space="preserve">, </w:t>
      </w:r>
      <w:proofErr w:type="spellStart"/>
      <w:r w:rsidRPr="00E555C9">
        <w:t>Veinot</w:t>
      </w:r>
      <w:proofErr w:type="spellEnd"/>
      <w:r w:rsidR="00A977CB">
        <w:t xml:space="preserve">, </w:t>
      </w:r>
      <w:r w:rsidR="00A977CB" w:rsidRPr="00E555C9">
        <w:t>J. G.</w:t>
      </w:r>
      <w:r w:rsidRPr="00E555C9">
        <w:t xml:space="preserve">, and </w:t>
      </w:r>
      <w:proofErr w:type="spellStart"/>
      <w:r w:rsidRPr="00E555C9">
        <w:t>Xenopoulos</w:t>
      </w:r>
      <w:proofErr w:type="spellEnd"/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r w:rsidRPr="00E555C9">
        <w:t xml:space="preserve">. </w:t>
      </w:r>
      <w:proofErr w:type="spellStart"/>
      <w:r w:rsidRPr="00E555C9">
        <w:t>Nanosilver</w:t>
      </w:r>
      <w:proofErr w:type="spellEnd"/>
      <w:r w:rsidRPr="00E555C9">
        <w:t xml:space="preserve">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7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 xml:space="preserve">, and </w:t>
      </w:r>
      <w:proofErr w:type="spellStart"/>
      <w:r w:rsidRPr="00E555C9">
        <w:t>Donihue</w:t>
      </w:r>
      <w:proofErr w:type="spellEnd"/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8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9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</w:t>
      </w:r>
      <w:proofErr w:type="spellStart"/>
      <w:r w:rsidRPr="00A92DEF">
        <w:rPr>
          <w:rFonts w:ascii="Times New Roman" w:hAnsi="Times New Roman" w:cs="Times New Roman"/>
        </w:rPr>
        <w:t>Hoffnagle</w:t>
      </w:r>
      <w:proofErr w:type="spellEnd"/>
      <w:r w:rsidRPr="00A92DEF">
        <w:rPr>
          <w:rFonts w:ascii="Times New Roman" w:hAnsi="Times New Roman" w:cs="Times New Roman"/>
        </w:rPr>
        <w:t xml:space="preserve">, G., </w:t>
      </w:r>
      <w:proofErr w:type="spellStart"/>
      <w:r w:rsidRPr="00A92DEF">
        <w:rPr>
          <w:rFonts w:ascii="Times New Roman" w:hAnsi="Times New Roman" w:cs="Times New Roman"/>
        </w:rPr>
        <w:t>Prewo</w:t>
      </w:r>
      <w:proofErr w:type="spellEnd"/>
      <w:r w:rsidRPr="00A92DEF">
        <w:rPr>
          <w:rFonts w:ascii="Times New Roman" w:hAnsi="Times New Roman" w:cs="Times New Roman"/>
        </w:rPr>
        <w:t xml:space="preserve">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 xml:space="preserve">, </w:t>
      </w:r>
      <w:proofErr w:type="spellStart"/>
      <w:r w:rsidRPr="00A92DEF">
        <w:rPr>
          <w:rFonts w:ascii="Times New Roman" w:hAnsi="Times New Roman" w:cs="Times New Roman"/>
        </w:rPr>
        <w:t>Coplin</w:t>
      </w:r>
      <w:proofErr w:type="spellEnd"/>
      <w:r w:rsidRPr="00A92DEF">
        <w:rPr>
          <w:rFonts w:ascii="Times New Roman" w:hAnsi="Times New Roman" w:cs="Times New Roman"/>
        </w:rPr>
        <w:t xml:space="preserve">, K., Weber, L., Strauss, R.H., Clark, T., </w:t>
      </w:r>
      <w:proofErr w:type="spellStart"/>
      <w:r w:rsidRPr="00A92DEF">
        <w:rPr>
          <w:rFonts w:ascii="Times New Roman" w:hAnsi="Times New Roman" w:cs="Times New Roman"/>
        </w:rPr>
        <w:t>Bertini</w:t>
      </w:r>
      <w:proofErr w:type="spellEnd"/>
      <w:r w:rsidRPr="00A92DEF">
        <w:rPr>
          <w:rFonts w:ascii="Times New Roman" w:hAnsi="Times New Roman" w:cs="Times New Roman"/>
        </w:rPr>
        <w:t>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18373899" w14:textId="3542B37D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 xml:space="preserve">. Yale Institute for </w:t>
      </w:r>
      <w:proofErr w:type="spellStart"/>
      <w:r>
        <w:t>Biospheric</w:t>
      </w:r>
      <w:proofErr w:type="spellEnd"/>
      <w:r>
        <w:t xml:space="preserve">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October 2018. </w:t>
      </w:r>
      <w:r w:rsidR="007A79E2" w:rsidRPr="007A79E2">
        <w:t xml:space="preserve">Insect herbivory impacts leaf-litter nitrogen with cascading effects on </w:t>
      </w:r>
      <w:proofErr w:type="spellStart"/>
      <w:r w:rsidR="007A79E2" w:rsidRPr="007A79E2">
        <w:t>detritivory</w:t>
      </w:r>
      <w:proofErr w:type="spellEnd"/>
      <w:r w:rsidR="007A79E2" w:rsidRPr="007A79E2">
        <w:t xml:space="preserve">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Buchkowski, R.W.</w:t>
      </w:r>
      <w:r>
        <w:t xml:space="preserve"> April 2018. </w:t>
      </w:r>
      <w:proofErr w:type="spellStart"/>
      <w:r w:rsidRPr="00566501">
        <w:rPr>
          <w:i/>
        </w:rPr>
        <w:t>Upgoer</w:t>
      </w:r>
      <w:proofErr w:type="spellEnd"/>
      <w:r w:rsidRPr="00566501">
        <w:rPr>
          <w:i/>
        </w:rPr>
        <w:t xml:space="preserve">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 xml:space="preserve">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proofErr w:type="spellStart"/>
      <w:r w:rsidRPr="00E555C9"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lastRenderedPageBreak/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411BE333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</w:t>
      </w:r>
      <w:r w:rsidR="00670D0E">
        <w:t>-3</w:t>
      </w:r>
      <w:r w:rsidR="0083004A">
        <w:t xml:space="preserve"> project</w:t>
      </w:r>
      <w:r w:rsidR="007A6CAC">
        <w:t>s with</w:t>
      </w:r>
      <w:r w:rsidR="0083004A">
        <w:t xml:space="preserve"> 1-2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41C34EBE" w14:textId="7685D8ED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lastRenderedPageBreak/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7713357C" w14:textId="39988D3F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</w:p>
    <w:p w14:paraId="7677D641" w14:textId="5B2326DA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2016,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</w:t>
      </w:r>
      <w:r w:rsidR="003C65B9" w:rsidRPr="00E555C9">
        <w:t>spheric</w:t>
      </w:r>
      <w:proofErr w:type="spellEnd"/>
      <w:r w:rsidR="003C65B9" w:rsidRPr="00E555C9">
        <w:t xml:space="preserve">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1EBFB559" w14:textId="3B6506EB" w:rsidR="005366EF" w:rsidRDefault="005366EF" w:rsidP="005366EF">
      <w:pPr>
        <w:pStyle w:val="ListParagraph"/>
        <w:numPr>
          <w:ilvl w:val="0"/>
          <w:numId w:val="5"/>
        </w:numPr>
      </w:pPr>
      <w:r w:rsidRPr="00E555C9">
        <w:t>Ecological Society of Am</w:t>
      </w:r>
      <w:r w:rsidR="00D70E2E" w:rsidRPr="00E555C9">
        <w:t>erica 2012</w:t>
      </w:r>
      <w:r w:rsidR="00C660FD" w:rsidRPr="00E555C9">
        <w:t>-present</w:t>
      </w:r>
    </w:p>
    <w:p w14:paraId="24220D07" w14:textId="39A74427" w:rsidR="00822AC3" w:rsidRPr="00E555C9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1A7D55C1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714D9360" w14:textId="5D840111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Data Analysis Student Interest Group, 2018</w:t>
      </w:r>
    </w:p>
    <w:p w14:paraId="76DB0EE0" w14:textId="547395FB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2016-7</w:t>
      </w:r>
      <w:r w:rsidR="0071318F">
        <w:t xml:space="preserve"> &amp;</w:t>
      </w:r>
      <w:r>
        <w:t xml:space="preserve"> 2017-8</w:t>
      </w:r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 xml:space="preserve">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lastRenderedPageBreak/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20"/>
      <w:footerReference w:type="default" r:id="rId2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CCB5" w14:textId="77777777" w:rsidR="0036005D" w:rsidRDefault="0036005D" w:rsidP="00DF29E4">
      <w:r>
        <w:separator/>
      </w:r>
    </w:p>
  </w:endnote>
  <w:endnote w:type="continuationSeparator" w:id="0">
    <w:p w14:paraId="20AFC3B9" w14:textId="77777777" w:rsidR="0036005D" w:rsidRDefault="0036005D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3EA3E709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CF1037">
      <w:t>January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60DB3" w14:textId="77777777" w:rsidR="0036005D" w:rsidRDefault="0036005D" w:rsidP="00DF29E4">
      <w:r>
        <w:separator/>
      </w:r>
    </w:p>
  </w:footnote>
  <w:footnote w:type="continuationSeparator" w:id="0">
    <w:p w14:paraId="5D9C2F29" w14:textId="77777777" w:rsidR="0036005D" w:rsidRDefault="0036005D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72CE"/>
    <w:rsid w:val="000728D1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6057"/>
    <w:rsid w:val="001F04F7"/>
    <w:rsid w:val="001F195C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C4B6F"/>
    <w:rsid w:val="002C7FC8"/>
    <w:rsid w:val="002E141A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5006A"/>
    <w:rsid w:val="00354478"/>
    <w:rsid w:val="0036005D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46F88"/>
    <w:rsid w:val="0045644E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B711C"/>
    <w:rsid w:val="005C54B1"/>
    <w:rsid w:val="005D08E9"/>
    <w:rsid w:val="005D10B0"/>
    <w:rsid w:val="005D7FD2"/>
    <w:rsid w:val="005E3757"/>
    <w:rsid w:val="005E6048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7823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246D6"/>
    <w:rsid w:val="00A37042"/>
    <w:rsid w:val="00A410F6"/>
    <w:rsid w:val="00A46C55"/>
    <w:rsid w:val="00A47FF1"/>
    <w:rsid w:val="00A51053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A8A"/>
    <w:rsid w:val="00AE7820"/>
    <w:rsid w:val="00AF096D"/>
    <w:rsid w:val="00AF1168"/>
    <w:rsid w:val="00AF5966"/>
    <w:rsid w:val="00B00005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944FC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9433F"/>
    <w:rsid w:val="00CA1BBC"/>
    <w:rsid w:val="00CB49D2"/>
    <w:rsid w:val="00CB6CF0"/>
    <w:rsid w:val="00CD43C4"/>
    <w:rsid w:val="00CD5A07"/>
    <w:rsid w:val="00CD71F4"/>
    <w:rsid w:val="00CF1037"/>
    <w:rsid w:val="00CF2934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33D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16/j.soilbio.2016.06.033" TargetMode="External"/><Relationship Id="rId18" Type="http://schemas.openxmlformats.org/officeDocument/2006/relationships/hyperlink" Target="https://doi.org/10.1016/bs.aecr.2015.01.003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111/ele.12712" TargetMode="External"/><Relationship Id="rId17" Type="http://schemas.openxmlformats.org/officeDocument/2006/relationships/hyperlink" Target="https://doi.org/10.1890/14-1327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bl.2014.104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17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00128-015-1697-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11/1365-2745.13079" TargetMode="External"/><Relationship Id="rId19" Type="http://schemas.openxmlformats.org/officeDocument/2006/relationships/hyperlink" Target="https://www.ncbi.nlm.nih.gov/pmc/PMC31932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2674" TargetMode="External"/><Relationship Id="rId14" Type="http://schemas.openxmlformats.org/officeDocument/2006/relationships/hyperlink" Target="https://doi.org/10.1257/aer.p201611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380</cp:revision>
  <cp:lastPrinted>2011-09-19T14:40:00Z</cp:lastPrinted>
  <dcterms:created xsi:type="dcterms:W3CDTF">2018-07-13T13:22:00Z</dcterms:created>
  <dcterms:modified xsi:type="dcterms:W3CDTF">2019-03-05T14:36:00Z</dcterms:modified>
</cp:coreProperties>
</file>