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DDA" w:rsidRDefault="001A3BE3" w:rsidP="001A3BE3">
      <w:pPr>
        <w:pStyle w:val="Title"/>
      </w:pPr>
      <w:r>
        <w:t>Transforms By Example: Issues and Workarounds</w:t>
      </w:r>
    </w:p>
    <w:p w:rsidR="001A3BE3" w:rsidRDefault="001A3BE3" w:rsidP="001A3BE3">
      <w:r>
        <w:t>The main aim of the TBX Beta test phase is to discover any issues or difficulties users have with the TBX tools, and put them right.</w:t>
      </w:r>
    </w:p>
    <w:p w:rsidR="001A3BE3" w:rsidRDefault="001A3BE3" w:rsidP="001A3BE3">
      <w:r>
        <w:t>Inevitably there is a time lag between discovering some issue (or a user encountering</w:t>
      </w:r>
      <w:r w:rsidR="00F314B1">
        <w:t xml:space="preserve"> it) and our </w:t>
      </w:r>
      <w:r>
        <w:t xml:space="preserve">putting it right. In the intervening time, other Beta test users need to be aware of the issue, and </w:t>
      </w:r>
      <w:r w:rsidR="00F314B1">
        <w:t xml:space="preserve">of </w:t>
      </w:r>
      <w:r>
        <w:t>any way (if there is one) of working  around it.</w:t>
      </w:r>
    </w:p>
    <w:p w:rsidR="001A3BE3" w:rsidRDefault="001A3BE3" w:rsidP="001A3BE3">
      <w:r>
        <w:t xml:space="preserve">This note contains a running list of the issues that have arisen, any workarounds we can suggest, and the release of the </w:t>
      </w:r>
      <w:r w:rsidR="00F314B1">
        <w:t xml:space="preserve">TBX </w:t>
      </w:r>
      <w:r>
        <w:t xml:space="preserve">tools in which the issue </w:t>
      </w:r>
      <w:r w:rsidR="00F314B1">
        <w:t>has been</w:t>
      </w:r>
      <w:r>
        <w:t xml:space="preserve"> fixed. It will be regularly updated.</w:t>
      </w:r>
    </w:p>
    <w:p w:rsidR="00F314B1" w:rsidRDefault="00F314B1" w:rsidP="001A3BE3">
      <w:r>
        <w:t>Please let us know of any other issues you encounter.</w:t>
      </w:r>
    </w:p>
    <w:p w:rsidR="00E33A12" w:rsidRDefault="00E33A12" w:rsidP="001A3BE3">
      <w:r>
        <w:t>If you need some fix urgently, tell us and we will give it high priority.</w:t>
      </w:r>
    </w:p>
    <w:tbl>
      <w:tblPr>
        <w:tblStyle w:val="TableGrid"/>
        <w:tblW w:w="0" w:type="auto"/>
        <w:tblInd w:w="-743" w:type="dxa"/>
        <w:tblLook w:val="04A0"/>
      </w:tblPr>
      <w:tblGrid>
        <w:gridCol w:w="1418"/>
        <w:gridCol w:w="3402"/>
        <w:gridCol w:w="3969"/>
        <w:gridCol w:w="1196"/>
      </w:tblGrid>
      <w:tr w:rsidR="001E3674" w:rsidRPr="001E3674" w:rsidTr="00375315">
        <w:trPr>
          <w:cantSplit/>
        </w:trPr>
        <w:tc>
          <w:tcPr>
            <w:tcW w:w="1418" w:type="dxa"/>
          </w:tcPr>
          <w:p w:rsidR="001E3674" w:rsidRPr="001E3674" w:rsidRDefault="001E3674" w:rsidP="001A3BE3">
            <w:pPr>
              <w:rPr>
                <w:b/>
                <w:sz w:val="18"/>
              </w:rPr>
            </w:pPr>
            <w:r w:rsidRPr="001E3674">
              <w:rPr>
                <w:b/>
                <w:sz w:val="18"/>
              </w:rPr>
              <w:t>Issue</w:t>
            </w:r>
          </w:p>
        </w:tc>
        <w:tc>
          <w:tcPr>
            <w:tcW w:w="3402" w:type="dxa"/>
          </w:tcPr>
          <w:p w:rsidR="001E3674" w:rsidRPr="001E3674" w:rsidRDefault="001E3674" w:rsidP="001A3BE3">
            <w:pPr>
              <w:rPr>
                <w:b/>
                <w:sz w:val="18"/>
              </w:rPr>
            </w:pPr>
            <w:r w:rsidRPr="001E3674">
              <w:rPr>
                <w:b/>
                <w:sz w:val="18"/>
              </w:rPr>
              <w:t>Description</w:t>
            </w:r>
          </w:p>
        </w:tc>
        <w:tc>
          <w:tcPr>
            <w:tcW w:w="3969" w:type="dxa"/>
          </w:tcPr>
          <w:p w:rsidR="001E3674" w:rsidRPr="001E3674" w:rsidRDefault="001E3674" w:rsidP="001A3BE3">
            <w:pPr>
              <w:rPr>
                <w:b/>
                <w:sz w:val="18"/>
              </w:rPr>
            </w:pPr>
            <w:r w:rsidRPr="001E3674">
              <w:rPr>
                <w:b/>
                <w:sz w:val="18"/>
              </w:rPr>
              <w:t>Workaround</w:t>
            </w:r>
          </w:p>
        </w:tc>
        <w:tc>
          <w:tcPr>
            <w:tcW w:w="1196" w:type="dxa"/>
          </w:tcPr>
          <w:p w:rsidR="001E3674" w:rsidRPr="001E3674" w:rsidRDefault="001E3674" w:rsidP="001A3BE3">
            <w:pPr>
              <w:rPr>
                <w:b/>
                <w:sz w:val="18"/>
              </w:rPr>
            </w:pPr>
            <w:r w:rsidRPr="001E3674">
              <w:rPr>
                <w:b/>
                <w:sz w:val="18"/>
              </w:rPr>
              <w:t>Fixed in Release</w:t>
            </w:r>
          </w:p>
        </w:tc>
      </w:tr>
      <w:tr w:rsidR="001E3674" w:rsidRPr="001E3674" w:rsidTr="00375315">
        <w:trPr>
          <w:cantSplit/>
        </w:trPr>
        <w:tc>
          <w:tcPr>
            <w:tcW w:w="1418" w:type="dxa"/>
          </w:tcPr>
          <w:p w:rsidR="001E3674" w:rsidRPr="001E3674" w:rsidRDefault="001E3674" w:rsidP="001A3BE3">
            <w:pPr>
              <w:rPr>
                <w:sz w:val="18"/>
              </w:rPr>
            </w:pPr>
            <w:r>
              <w:rPr>
                <w:sz w:val="18"/>
              </w:rPr>
              <w:t>Mac Installations</w:t>
            </w:r>
          </w:p>
        </w:tc>
        <w:tc>
          <w:tcPr>
            <w:tcW w:w="3402" w:type="dxa"/>
          </w:tcPr>
          <w:p w:rsidR="001E3674" w:rsidRPr="001E3674" w:rsidRDefault="00FF3C85" w:rsidP="001A3BE3">
            <w:pPr>
              <w:rPr>
                <w:sz w:val="18"/>
              </w:rPr>
            </w:pPr>
            <w:r>
              <w:rPr>
                <w:sz w:val="18"/>
              </w:rPr>
              <w:t>On selecting a file, you get the message 'Selected file must be in the Eclipse Workspace', even when it is.</w:t>
            </w:r>
          </w:p>
        </w:tc>
        <w:tc>
          <w:tcPr>
            <w:tcW w:w="3969" w:type="dxa"/>
          </w:tcPr>
          <w:p w:rsidR="001E3674" w:rsidRDefault="00FF3C85" w:rsidP="001A3BE3">
            <w:pPr>
              <w:rPr>
                <w:sz w:val="18"/>
              </w:rPr>
            </w:pPr>
            <w:r>
              <w:rPr>
                <w:sz w:val="18"/>
              </w:rPr>
              <w:t xml:space="preserve">This may happen when choosing a file for output of </w:t>
            </w:r>
            <w:r w:rsidR="00E33A12">
              <w:rPr>
                <w:sz w:val="18"/>
              </w:rPr>
              <w:t xml:space="preserve">generated </w:t>
            </w:r>
            <w:r>
              <w:rPr>
                <w:sz w:val="18"/>
              </w:rPr>
              <w:t>Java or FML. Do it by editing the gen file directly</w:t>
            </w:r>
            <w:r w:rsidR="00E33A12">
              <w:rPr>
                <w:sz w:val="18"/>
              </w:rPr>
              <w:t>, then reload the transform.</w:t>
            </w:r>
          </w:p>
          <w:p w:rsidR="00F314B1" w:rsidRDefault="00F314B1" w:rsidP="001A3BE3">
            <w:pPr>
              <w:rPr>
                <w:sz w:val="18"/>
              </w:rPr>
            </w:pPr>
          </w:p>
          <w:p w:rsidR="00F314B1" w:rsidRPr="001E3674" w:rsidRDefault="00F314B1" w:rsidP="001A3BE3">
            <w:pPr>
              <w:rPr>
                <w:sz w:val="18"/>
              </w:rPr>
            </w:pPr>
            <w:r>
              <w:rPr>
                <w:sz w:val="18"/>
              </w:rPr>
              <w:t>Tell us about any other problems on Mac.</w:t>
            </w:r>
          </w:p>
        </w:tc>
        <w:tc>
          <w:tcPr>
            <w:tcW w:w="1196" w:type="dxa"/>
          </w:tcPr>
          <w:p w:rsidR="001E3674" w:rsidRPr="001E3674" w:rsidRDefault="001E3674" w:rsidP="001A3BE3">
            <w:pPr>
              <w:rPr>
                <w:sz w:val="18"/>
              </w:rPr>
            </w:pPr>
          </w:p>
        </w:tc>
      </w:tr>
      <w:tr w:rsidR="001E3674" w:rsidRPr="001E3674" w:rsidTr="00375315">
        <w:trPr>
          <w:cantSplit/>
        </w:trPr>
        <w:tc>
          <w:tcPr>
            <w:tcW w:w="1418" w:type="dxa"/>
          </w:tcPr>
          <w:p w:rsidR="001E3674" w:rsidRPr="001E3674" w:rsidRDefault="00FF3C85" w:rsidP="001A3BE3">
            <w:pPr>
              <w:rPr>
                <w:sz w:val="18"/>
              </w:rPr>
            </w:pPr>
            <w:r>
              <w:rPr>
                <w:sz w:val="18"/>
              </w:rPr>
              <w:t>Transforms between FHIR versions</w:t>
            </w:r>
          </w:p>
        </w:tc>
        <w:tc>
          <w:tcPr>
            <w:tcW w:w="3402" w:type="dxa"/>
          </w:tcPr>
          <w:p w:rsidR="001E3674" w:rsidRPr="001E3674" w:rsidRDefault="00FF3C85" w:rsidP="00375315">
            <w:pPr>
              <w:rPr>
                <w:sz w:val="18"/>
              </w:rPr>
            </w:pPr>
            <w:r>
              <w:rPr>
                <w:sz w:val="18"/>
              </w:rPr>
              <w:t>The tools currently require the FHIR version to be the same for source and target - so we cannot yet build transforms</w:t>
            </w:r>
            <w:r w:rsidR="00375315">
              <w:rPr>
                <w:sz w:val="18"/>
              </w:rPr>
              <w:t xml:space="preserve"> between FHIR versions.</w:t>
            </w:r>
          </w:p>
        </w:tc>
        <w:tc>
          <w:tcPr>
            <w:tcW w:w="3969" w:type="dxa"/>
          </w:tcPr>
          <w:p w:rsidR="001E3674" w:rsidRPr="001E3674" w:rsidRDefault="00FF3C85" w:rsidP="001A3BE3">
            <w:pPr>
              <w:rPr>
                <w:sz w:val="18"/>
              </w:rPr>
            </w:pPr>
            <w:r>
              <w:rPr>
                <w:sz w:val="18"/>
              </w:rPr>
              <w:t>None yet - but the fix</w:t>
            </w:r>
            <w:r w:rsidR="00E33A12">
              <w:rPr>
                <w:sz w:val="18"/>
              </w:rPr>
              <w:t xml:space="preserve"> is simple</w:t>
            </w:r>
            <w:r>
              <w:rPr>
                <w:sz w:val="18"/>
              </w:rPr>
              <w:t>.</w:t>
            </w:r>
          </w:p>
        </w:tc>
        <w:tc>
          <w:tcPr>
            <w:tcW w:w="1196" w:type="dxa"/>
          </w:tcPr>
          <w:p w:rsidR="001E3674" w:rsidRPr="001E3674" w:rsidRDefault="001E3674" w:rsidP="001A3BE3">
            <w:pPr>
              <w:rPr>
                <w:sz w:val="18"/>
              </w:rPr>
            </w:pPr>
          </w:p>
        </w:tc>
      </w:tr>
      <w:tr w:rsidR="001E3674" w:rsidRPr="001E3674" w:rsidTr="00375315">
        <w:trPr>
          <w:cantSplit/>
        </w:trPr>
        <w:tc>
          <w:tcPr>
            <w:tcW w:w="1418" w:type="dxa"/>
          </w:tcPr>
          <w:p w:rsidR="001E3674" w:rsidRPr="001E3674" w:rsidRDefault="00FF3C85" w:rsidP="001A3BE3">
            <w:pPr>
              <w:rPr>
                <w:sz w:val="18"/>
              </w:rPr>
            </w:pPr>
            <w:r>
              <w:rPr>
                <w:sz w:val="18"/>
              </w:rPr>
              <w:t>CDA transforms</w:t>
            </w:r>
          </w:p>
        </w:tc>
        <w:tc>
          <w:tcPr>
            <w:tcW w:w="3402" w:type="dxa"/>
          </w:tcPr>
          <w:p w:rsidR="001E3674" w:rsidRPr="001E3674" w:rsidRDefault="00FF3C85" w:rsidP="00FF3C85">
            <w:pPr>
              <w:rPr>
                <w:sz w:val="18"/>
              </w:rPr>
            </w:pPr>
            <w:r>
              <w:rPr>
                <w:sz w:val="18"/>
              </w:rPr>
              <w:t>To do CDA to FHIR transforms easily (without too many example pairs) the tools need special facilities ,</w:t>
            </w:r>
            <w:r w:rsidR="00F314B1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to recognise </w:t>
            </w:r>
            <w:r w:rsidR="00F314B1">
              <w:rPr>
                <w:sz w:val="18"/>
              </w:rPr>
              <w:t xml:space="preserve"> CDA </w:t>
            </w:r>
            <w:r>
              <w:rPr>
                <w:sz w:val="18"/>
              </w:rPr>
              <w:t>templates</w:t>
            </w:r>
          </w:p>
        </w:tc>
        <w:tc>
          <w:tcPr>
            <w:tcW w:w="3969" w:type="dxa"/>
          </w:tcPr>
          <w:p w:rsidR="001E3674" w:rsidRPr="001E3674" w:rsidRDefault="00FF3C85" w:rsidP="001A3BE3">
            <w:pPr>
              <w:rPr>
                <w:sz w:val="18"/>
              </w:rPr>
            </w:pPr>
            <w:r>
              <w:rPr>
                <w:sz w:val="18"/>
              </w:rPr>
              <w:t>Wait until we have implemented and tested these facilities</w:t>
            </w:r>
            <w:r w:rsidR="00F314B1">
              <w:rPr>
                <w:sz w:val="18"/>
              </w:rPr>
              <w:t>, before tackling CDA</w:t>
            </w:r>
            <w:r w:rsidR="00E33A12">
              <w:rPr>
                <w:sz w:val="18"/>
              </w:rPr>
              <w:t>.</w:t>
            </w:r>
          </w:p>
        </w:tc>
        <w:tc>
          <w:tcPr>
            <w:tcW w:w="1196" w:type="dxa"/>
          </w:tcPr>
          <w:p w:rsidR="001E3674" w:rsidRPr="001E3674" w:rsidRDefault="001E3674" w:rsidP="001A3BE3">
            <w:pPr>
              <w:rPr>
                <w:sz w:val="18"/>
              </w:rPr>
            </w:pPr>
          </w:p>
        </w:tc>
      </w:tr>
      <w:tr w:rsidR="00FF3C85" w:rsidRPr="001E3674" w:rsidTr="00375315">
        <w:trPr>
          <w:cantSplit/>
        </w:trPr>
        <w:tc>
          <w:tcPr>
            <w:tcW w:w="1418" w:type="dxa"/>
          </w:tcPr>
          <w:p w:rsidR="00FF3C85" w:rsidRDefault="00FF3C85" w:rsidP="001A3BE3">
            <w:pPr>
              <w:rPr>
                <w:sz w:val="18"/>
              </w:rPr>
            </w:pPr>
            <w:r>
              <w:rPr>
                <w:sz w:val="18"/>
              </w:rPr>
              <w:t>Relational database as target</w:t>
            </w:r>
          </w:p>
        </w:tc>
        <w:tc>
          <w:tcPr>
            <w:tcW w:w="3402" w:type="dxa"/>
          </w:tcPr>
          <w:p w:rsidR="00FF3C85" w:rsidRDefault="00FF3C85" w:rsidP="00FF3C85">
            <w:pPr>
              <w:rPr>
                <w:sz w:val="18"/>
              </w:rPr>
            </w:pPr>
            <w:r>
              <w:rPr>
                <w:sz w:val="18"/>
              </w:rPr>
              <w:t>The tools do not fully support this use case yet.</w:t>
            </w:r>
          </w:p>
        </w:tc>
        <w:tc>
          <w:tcPr>
            <w:tcW w:w="3969" w:type="dxa"/>
          </w:tcPr>
          <w:p w:rsidR="00FF3C85" w:rsidRDefault="00FF3C85" w:rsidP="001A3BE3">
            <w:pPr>
              <w:rPr>
                <w:sz w:val="18"/>
              </w:rPr>
            </w:pPr>
            <w:r>
              <w:rPr>
                <w:sz w:val="18"/>
              </w:rPr>
              <w:t xml:space="preserve">Create the transform with RDB as source, </w:t>
            </w:r>
            <w:r w:rsidR="00375315">
              <w:rPr>
                <w:sz w:val="18"/>
              </w:rPr>
              <w:t xml:space="preserve">and </w:t>
            </w:r>
            <w:r>
              <w:rPr>
                <w:sz w:val="18"/>
              </w:rPr>
              <w:t xml:space="preserve">something else </w:t>
            </w:r>
            <w:r w:rsidR="00E33A12">
              <w:rPr>
                <w:sz w:val="18"/>
              </w:rPr>
              <w:t xml:space="preserve">(X) </w:t>
            </w:r>
            <w:r>
              <w:rPr>
                <w:sz w:val="18"/>
              </w:rPr>
              <w:t>as target. This creates mappings which allow you to run the transform in both directions, using the native transform engine in the tools. For X=&gt;RDB, you cannot yet generate Java or FML.</w:t>
            </w:r>
          </w:p>
        </w:tc>
        <w:tc>
          <w:tcPr>
            <w:tcW w:w="1196" w:type="dxa"/>
          </w:tcPr>
          <w:p w:rsidR="00FF3C85" w:rsidRPr="001E3674" w:rsidRDefault="00FF3C85" w:rsidP="001A3BE3">
            <w:pPr>
              <w:rPr>
                <w:sz w:val="18"/>
              </w:rPr>
            </w:pPr>
          </w:p>
        </w:tc>
      </w:tr>
      <w:tr w:rsidR="00E33A12" w:rsidRPr="001E3674" w:rsidTr="00375315">
        <w:trPr>
          <w:cantSplit/>
        </w:trPr>
        <w:tc>
          <w:tcPr>
            <w:tcW w:w="1418" w:type="dxa"/>
          </w:tcPr>
          <w:p w:rsidR="00E33A12" w:rsidRDefault="00E33A12" w:rsidP="001A3BE3">
            <w:pPr>
              <w:rPr>
                <w:sz w:val="18"/>
              </w:rPr>
            </w:pPr>
            <w:r>
              <w:rPr>
                <w:sz w:val="18"/>
              </w:rPr>
              <w:t>Convenience of RDB as source</w:t>
            </w:r>
          </w:p>
        </w:tc>
        <w:tc>
          <w:tcPr>
            <w:tcW w:w="3402" w:type="dxa"/>
          </w:tcPr>
          <w:p w:rsidR="00E33A12" w:rsidRDefault="00E33A12" w:rsidP="00F314B1">
            <w:pPr>
              <w:rPr>
                <w:sz w:val="18"/>
              </w:rPr>
            </w:pPr>
            <w:r>
              <w:rPr>
                <w:sz w:val="18"/>
              </w:rPr>
              <w:t xml:space="preserve">Currently you need to define </w:t>
            </w:r>
            <w:r w:rsidR="00F314B1">
              <w:rPr>
                <w:sz w:val="18"/>
              </w:rPr>
              <w:t>any</w:t>
            </w:r>
            <w:r>
              <w:rPr>
                <w:sz w:val="18"/>
              </w:rPr>
              <w:t xml:space="preserve"> relational d</w:t>
            </w:r>
            <w:r w:rsidR="00375315">
              <w:rPr>
                <w:sz w:val="18"/>
              </w:rPr>
              <w:t xml:space="preserve">atabase source structure in two </w:t>
            </w:r>
            <w:proofErr w:type="spellStart"/>
            <w:r>
              <w:rPr>
                <w:sz w:val="18"/>
              </w:rPr>
              <w:t>csv</w:t>
            </w:r>
            <w:proofErr w:type="spellEnd"/>
            <w:r>
              <w:rPr>
                <w:sz w:val="18"/>
              </w:rPr>
              <w:t xml:space="preserve"> files, which you need to create.</w:t>
            </w:r>
          </w:p>
        </w:tc>
        <w:tc>
          <w:tcPr>
            <w:tcW w:w="3969" w:type="dxa"/>
          </w:tcPr>
          <w:p w:rsidR="00375315" w:rsidRDefault="00375315" w:rsidP="00F314B1">
            <w:pPr>
              <w:rPr>
                <w:sz w:val="18"/>
              </w:rPr>
            </w:pPr>
            <w:r>
              <w:rPr>
                <w:sz w:val="18"/>
              </w:rPr>
              <w:t>Create the files, by hand if necessary.</w:t>
            </w:r>
          </w:p>
          <w:p w:rsidR="00375315" w:rsidRDefault="00375315" w:rsidP="00F314B1">
            <w:pPr>
              <w:rPr>
                <w:sz w:val="18"/>
              </w:rPr>
            </w:pPr>
          </w:p>
          <w:p w:rsidR="00E33A12" w:rsidRDefault="00E33A12" w:rsidP="00F314B1">
            <w:pPr>
              <w:rPr>
                <w:sz w:val="18"/>
              </w:rPr>
            </w:pPr>
            <w:r>
              <w:rPr>
                <w:sz w:val="18"/>
              </w:rPr>
              <w:t xml:space="preserve">Facilities to get RDB metadata by </w:t>
            </w:r>
            <w:proofErr w:type="spellStart"/>
            <w:r>
              <w:rPr>
                <w:sz w:val="18"/>
              </w:rPr>
              <w:t>jdbc</w:t>
            </w:r>
            <w:proofErr w:type="spellEnd"/>
            <w:r>
              <w:rPr>
                <w:sz w:val="18"/>
              </w:rPr>
              <w:t xml:space="preserve"> exist</w:t>
            </w:r>
            <w:r w:rsidR="00F314B1">
              <w:rPr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 w:rsidR="00F314B1">
              <w:rPr>
                <w:sz w:val="18"/>
              </w:rPr>
              <w:t>and</w:t>
            </w:r>
            <w:r w:rsidR="00375315">
              <w:rPr>
                <w:sz w:val="18"/>
              </w:rPr>
              <w:t xml:space="preserve"> we will</w:t>
            </w:r>
            <w:r>
              <w:rPr>
                <w:sz w:val="18"/>
              </w:rPr>
              <w:t xml:space="preserve"> couple them to TBX</w:t>
            </w:r>
          </w:p>
        </w:tc>
        <w:tc>
          <w:tcPr>
            <w:tcW w:w="1196" w:type="dxa"/>
          </w:tcPr>
          <w:p w:rsidR="00E33A12" w:rsidRPr="001E3674" w:rsidRDefault="00E33A12" w:rsidP="001A3BE3">
            <w:pPr>
              <w:rPr>
                <w:sz w:val="18"/>
              </w:rPr>
            </w:pPr>
          </w:p>
        </w:tc>
      </w:tr>
      <w:tr w:rsidR="00E33A12" w:rsidRPr="001E3674" w:rsidTr="00375315">
        <w:trPr>
          <w:cantSplit/>
        </w:trPr>
        <w:tc>
          <w:tcPr>
            <w:tcW w:w="1418" w:type="dxa"/>
          </w:tcPr>
          <w:p w:rsidR="00E33A12" w:rsidRDefault="00E33A12" w:rsidP="001A3BE3">
            <w:pPr>
              <w:rPr>
                <w:sz w:val="18"/>
              </w:rPr>
            </w:pPr>
            <w:r>
              <w:rPr>
                <w:sz w:val="18"/>
              </w:rPr>
              <w:t>Using HAPI FHIR server facilities</w:t>
            </w:r>
          </w:p>
        </w:tc>
        <w:tc>
          <w:tcPr>
            <w:tcW w:w="3402" w:type="dxa"/>
          </w:tcPr>
          <w:p w:rsidR="00E33A12" w:rsidRDefault="00E33A12" w:rsidP="00FF3C85">
            <w:pPr>
              <w:rPr>
                <w:sz w:val="18"/>
              </w:rPr>
            </w:pPr>
            <w:r>
              <w:rPr>
                <w:sz w:val="18"/>
              </w:rPr>
              <w:t xml:space="preserve">If you want to build a FHIR server facade on a legacy relational database, TBX cannot yet auto-generate SQL to retrieve the required records,  from a </w:t>
            </w:r>
            <w:proofErr w:type="spellStart"/>
            <w:r>
              <w:rPr>
                <w:sz w:val="18"/>
              </w:rPr>
              <w:t>RESTful</w:t>
            </w:r>
            <w:proofErr w:type="spellEnd"/>
            <w:r>
              <w:rPr>
                <w:sz w:val="18"/>
              </w:rPr>
              <w:t xml:space="preserve"> FHIR search on a HAPI server</w:t>
            </w:r>
          </w:p>
        </w:tc>
        <w:tc>
          <w:tcPr>
            <w:tcW w:w="3969" w:type="dxa"/>
          </w:tcPr>
          <w:p w:rsidR="00E33A12" w:rsidRDefault="00E33A12" w:rsidP="001A3BE3">
            <w:pPr>
              <w:rPr>
                <w:sz w:val="18"/>
              </w:rPr>
            </w:pPr>
            <w:r>
              <w:rPr>
                <w:sz w:val="18"/>
              </w:rPr>
              <w:t xml:space="preserve">Write the code to generate SQL from  </w:t>
            </w:r>
            <w:proofErr w:type="spellStart"/>
            <w:r>
              <w:rPr>
                <w:sz w:val="18"/>
              </w:rPr>
              <w:t>RESTful</w:t>
            </w:r>
            <w:proofErr w:type="spellEnd"/>
            <w:r>
              <w:rPr>
                <w:sz w:val="18"/>
              </w:rPr>
              <w:t xml:space="preserve"> searches yourself.</w:t>
            </w:r>
          </w:p>
          <w:p w:rsidR="00E33A12" w:rsidRDefault="00E33A12" w:rsidP="001A3BE3">
            <w:pPr>
              <w:rPr>
                <w:sz w:val="18"/>
              </w:rPr>
            </w:pPr>
          </w:p>
          <w:p w:rsidR="00E33A12" w:rsidRDefault="00E33A12" w:rsidP="001A3BE3">
            <w:pPr>
              <w:rPr>
                <w:sz w:val="18"/>
              </w:rPr>
            </w:pPr>
            <w:r>
              <w:rPr>
                <w:sz w:val="18"/>
              </w:rPr>
              <w:t>In a future release, TBX will be able to generate SQL from HAPI server information.</w:t>
            </w:r>
          </w:p>
        </w:tc>
        <w:tc>
          <w:tcPr>
            <w:tcW w:w="1196" w:type="dxa"/>
          </w:tcPr>
          <w:p w:rsidR="00E33A12" w:rsidRPr="001E3674" w:rsidRDefault="00E33A12" w:rsidP="001A3BE3">
            <w:pPr>
              <w:rPr>
                <w:sz w:val="18"/>
              </w:rPr>
            </w:pPr>
          </w:p>
        </w:tc>
      </w:tr>
      <w:tr w:rsidR="00F314B1" w:rsidRPr="001E3674" w:rsidTr="00375315">
        <w:trPr>
          <w:cantSplit/>
        </w:trPr>
        <w:tc>
          <w:tcPr>
            <w:tcW w:w="1418" w:type="dxa"/>
          </w:tcPr>
          <w:p w:rsidR="00F314B1" w:rsidRDefault="00F314B1" w:rsidP="001A3BE3">
            <w:pPr>
              <w:rPr>
                <w:sz w:val="18"/>
              </w:rPr>
            </w:pPr>
            <w:r>
              <w:rPr>
                <w:sz w:val="18"/>
              </w:rPr>
              <w:t>FHIR ids and resource references</w:t>
            </w:r>
          </w:p>
        </w:tc>
        <w:tc>
          <w:tcPr>
            <w:tcW w:w="3402" w:type="dxa"/>
          </w:tcPr>
          <w:p w:rsidR="00F314B1" w:rsidRDefault="00F314B1" w:rsidP="00F314B1">
            <w:pPr>
              <w:rPr>
                <w:sz w:val="18"/>
              </w:rPr>
            </w:pPr>
            <w:r>
              <w:rPr>
                <w:sz w:val="18"/>
              </w:rPr>
              <w:t>With FHIR as target, you probably need to create FHIR ids for resources obeying some local rules. This is not yet very convenient to do</w:t>
            </w:r>
          </w:p>
        </w:tc>
        <w:tc>
          <w:tcPr>
            <w:tcW w:w="3969" w:type="dxa"/>
          </w:tcPr>
          <w:p w:rsidR="00F314B1" w:rsidRDefault="00F314B1" w:rsidP="001A3BE3">
            <w:pPr>
              <w:rPr>
                <w:sz w:val="18"/>
              </w:rPr>
            </w:pPr>
            <w:r>
              <w:rPr>
                <w:sz w:val="18"/>
              </w:rPr>
              <w:t xml:space="preserve">Modify the generated Java  - preferably by </w:t>
            </w:r>
            <w:proofErr w:type="spellStart"/>
            <w:r>
              <w:rPr>
                <w:sz w:val="18"/>
              </w:rPr>
              <w:t>subclassing</w:t>
            </w:r>
            <w:proofErr w:type="spellEnd"/>
            <w:r>
              <w:rPr>
                <w:sz w:val="18"/>
              </w:rPr>
              <w:t>, so you can re-generate</w:t>
            </w:r>
            <w:r w:rsidR="00375315">
              <w:rPr>
                <w:sz w:val="18"/>
              </w:rPr>
              <w:t>.</w:t>
            </w:r>
          </w:p>
        </w:tc>
        <w:tc>
          <w:tcPr>
            <w:tcW w:w="1196" w:type="dxa"/>
          </w:tcPr>
          <w:p w:rsidR="00F314B1" w:rsidRPr="001E3674" w:rsidRDefault="00F314B1" w:rsidP="001A3BE3">
            <w:pPr>
              <w:rPr>
                <w:sz w:val="18"/>
              </w:rPr>
            </w:pPr>
          </w:p>
        </w:tc>
      </w:tr>
      <w:tr w:rsidR="00F314B1" w:rsidRPr="001E3674" w:rsidTr="00375315">
        <w:trPr>
          <w:cantSplit/>
        </w:trPr>
        <w:tc>
          <w:tcPr>
            <w:tcW w:w="1418" w:type="dxa"/>
          </w:tcPr>
          <w:p w:rsidR="00F314B1" w:rsidRDefault="00F314B1" w:rsidP="001A3BE3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Writing Java data conversion functions</w:t>
            </w:r>
          </w:p>
        </w:tc>
        <w:tc>
          <w:tcPr>
            <w:tcW w:w="3402" w:type="dxa"/>
          </w:tcPr>
          <w:p w:rsidR="00F314B1" w:rsidRDefault="00F314B1" w:rsidP="00FF3C85">
            <w:pPr>
              <w:rPr>
                <w:sz w:val="18"/>
              </w:rPr>
            </w:pPr>
            <w:r>
              <w:rPr>
                <w:sz w:val="18"/>
              </w:rPr>
              <w:t>You need to set up Eclipse to do this</w:t>
            </w:r>
            <w:r w:rsidR="00375315">
              <w:rPr>
                <w:sz w:val="18"/>
              </w:rPr>
              <w:t>, so you can develop Java code and run it in TBX</w:t>
            </w:r>
            <w:r>
              <w:rPr>
                <w:sz w:val="18"/>
              </w:rPr>
              <w:t>. In the Help files that describe how to do this, currently the screenshots are missing, so they may be  bit cryptic.</w:t>
            </w:r>
          </w:p>
        </w:tc>
        <w:tc>
          <w:tcPr>
            <w:tcW w:w="3969" w:type="dxa"/>
          </w:tcPr>
          <w:p w:rsidR="00F314B1" w:rsidRDefault="00F314B1" w:rsidP="001A3BE3">
            <w:pPr>
              <w:rPr>
                <w:sz w:val="18"/>
              </w:rPr>
            </w:pPr>
            <w:r>
              <w:rPr>
                <w:sz w:val="18"/>
              </w:rPr>
              <w:t>Ask for help if necessary</w:t>
            </w:r>
          </w:p>
        </w:tc>
        <w:tc>
          <w:tcPr>
            <w:tcW w:w="1196" w:type="dxa"/>
          </w:tcPr>
          <w:p w:rsidR="00F314B1" w:rsidRPr="001E3674" w:rsidRDefault="00F314B1" w:rsidP="001A3BE3">
            <w:pPr>
              <w:rPr>
                <w:sz w:val="18"/>
              </w:rPr>
            </w:pPr>
          </w:p>
        </w:tc>
      </w:tr>
      <w:tr w:rsidR="00375315" w:rsidRPr="001E3674" w:rsidTr="00375315">
        <w:trPr>
          <w:cantSplit/>
        </w:trPr>
        <w:tc>
          <w:tcPr>
            <w:tcW w:w="1418" w:type="dxa"/>
          </w:tcPr>
          <w:p w:rsidR="00375315" w:rsidRDefault="00375315" w:rsidP="001A3BE3">
            <w:pPr>
              <w:rPr>
                <w:sz w:val="18"/>
              </w:rPr>
            </w:pPr>
            <w:r>
              <w:rPr>
                <w:sz w:val="18"/>
              </w:rPr>
              <w:t>Tips on building example pairs are not yet in the Eclipse help files</w:t>
            </w:r>
          </w:p>
        </w:tc>
        <w:tc>
          <w:tcPr>
            <w:tcW w:w="3402" w:type="dxa"/>
          </w:tcPr>
          <w:p w:rsidR="00375315" w:rsidRDefault="00375315" w:rsidP="00FF3C85">
            <w:pPr>
              <w:rPr>
                <w:sz w:val="18"/>
              </w:rPr>
            </w:pPr>
            <w:r>
              <w:rPr>
                <w:sz w:val="18"/>
              </w:rPr>
              <w:t>You really need to read these tips, and give us feedback about them.</w:t>
            </w:r>
          </w:p>
        </w:tc>
        <w:tc>
          <w:tcPr>
            <w:tcW w:w="3969" w:type="dxa"/>
          </w:tcPr>
          <w:p w:rsidR="00375315" w:rsidRDefault="00375315" w:rsidP="00375315">
            <w:pPr>
              <w:rPr>
                <w:sz w:val="18"/>
              </w:rPr>
            </w:pPr>
            <w:r>
              <w:rPr>
                <w:sz w:val="18"/>
              </w:rPr>
              <w:t xml:space="preserve">The tips are in a Word document in the </w:t>
            </w:r>
            <w:proofErr w:type="spellStart"/>
            <w:r>
              <w:rPr>
                <w:sz w:val="18"/>
              </w:rPr>
              <w:t>Dropbox</w:t>
            </w:r>
            <w:proofErr w:type="spellEnd"/>
            <w:r>
              <w:rPr>
                <w:sz w:val="18"/>
              </w:rPr>
              <w:t xml:space="preserve"> you use to download the tools.</w:t>
            </w:r>
          </w:p>
        </w:tc>
        <w:tc>
          <w:tcPr>
            <w:tcW w:w="1196" w:type="dxa"/>
          </w:tcPr>
          <w:p w:rsidR="00375315" w:rsidRPr="001E3674" w:rsidRDefault="00375315" w:rsidP="001A3BE3">
            <w:pPr>
              <w:rPr>
                <w:sz w:val="18"/>
              </w:rPr>
            </w:pPr>
          </w:p>
        </w:tc>
      </w:tr>
    </w:tbl>
    <w:p w:rsidR="001E3674" w:rsidRPr="001A3BE3" w:rsidRDefault="001E3674" w:rsidP="001A3BE3"/>
    <w:sectPr w:rsidR="001E3674" w:rsidRPr="001A3BE3" w:rsidSect="007E2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1A3BE3"/>
    <w:rsid w:val="001A3BE3"/>
    <w:rsid w:val="001E3674"/>
    <w:rsid w:val="00375315"/>
    <w:rsid w:val="005A7347"/>
    <w:rsid w:val="007E2DDA"/>
    <w:rsid w:val="00D75E5A"/>
    <w:rsid w:val="00DD776F"/>
    <w:rsid w:val="00E33A12"/>
    <w:rsid w:val="00F05855"/>
    <w:rsid w:val="00F314B1"/>
    <w:rsid w:val="00F61A73"/>
    <w:rsid w:val="00FF3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B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B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E3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2018-10-24T07:38:00Z</dcterms:created>
  <dcterms:modified xsi:type="dcterms:W3CDTF">2018-10-24T08:27:00Z</dcterms:modified>
</cp:coreProperties>
</file>