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r>
        <w:rPr>
          <w:rFonts w:ascii="Arial" w:cs="Arial" w:eastAsia="Arial" w:hAnsi="Arial"/>
          <w:sz w:val="20"/>
          <w:szCs w:val="20"/>
        </w:rPr>
        <w:t xml:space="preserve"/>
      </w:r>
    </w:p>
    <w:p>
      <w:pPr>
        <w:jc w:val="center"/>
      </w:pPr>
      <w:r>
        <w:rPr>
          <w:rFonts w:ascii="Arial" w:cs="Arial" w:eastAsia="Arial" w:hAnsi="Arial"/>
          <w:b/>
          <w:bCs/>
          <w:color w:val="1B2A4A"/>
          <w:sz w:val="48"/>
          <w:szCs w:val="48"/>
        </w:rPr>
        <w:t xml:space="preserve">MONTHLY MANAGEMENT REPORT</w:t>
      </w:r>
    </w:p>
    <w:p>
      <w:pPr>
        <w:spacing w:after="200"/>
      </w:pPr>
      <w:r>
        <w:rPr>
          <w:rFonts w:ascii="Arial" w:cs="Arial" w:eastAsia="Arial" w:hAnsi="Arial"/>
          <w:sz w:val="20"/>
          <w:szCs w:val="20"/>
        </w:rPr>
        <w:t xml:space="preserve"/>
      </w:r>
    </w:p>
    <w:p>
      <w:pPr>
        <w:jc w:val="center"/>
      </w:pPr>
      <w:r>
        <w:rPr>
          <w:rFonts w:ascii="Arial" w:cs="Arial" w:eastAsia="Arial" w:hAnsi="Arial"/>
          <w:i/>
          <w:iCs/>
          <w:color w:val="7F8C8D"/>
          <w:sz w:val="20"/>
          <w:szCs w:val="20"/>
        </w:rPr>
        <w:t xml:space="preserve">CONFIDENTIAL</w:t>
      </w:r>
    </w:p>
    <w:p>
      <w:pPr>
        <w:spacing w:after="600"/>
      </w:pPr>
      <w:r>
        <w:rPr>
          <w:rFonts w:ascii="Arial" w:cs="Arial" w:eastAsia="Arial" w:hAnsi="Arial"/>
          <w:sz w:val="20"/>
          <w:szCs w:val="20"/>
        </w:rPr>
        <w:t xml:space="preserve"/>
      </w:r>
    </w:p>
    <w:p>
      <w:pPr>
        <w:jc w:val="center"/>
      </w:pPr>
      <w:r>
        <w:rPr>
          <w:rFonts w:ascii="Arial" w:cs="Arial" w:eastAsia="Arial" w:hAnsi="Arial"/>
          <w:color w:val="2E75B6"/>
          <w:sz w:val="32"/>
          <w:szCs w:val="32"/>
        </w:rPr>
        <w:t xml:space="preserve">[Company Name] Ltd</w:t>
      </w:r>
    </w:p>
    <w:p>
      <w:pPr>
        <w:spacing w:after="200"/>
      </w:pPr>
      <w:r>
        <w:rPr>
          <w:rFonts w:ascii="Arial" w:cs="Arial" w:eastAsia="Arial" w:hAnsi="Arial"/>
          <w:sz w:val="20"/>
          <w:szCs w:val="20"/>
        </w:rPr>
        <w:t xml:space="preserve"/>
      </w:r>
    </w:p>
    <w:p>
      <w:pPr>
        <w:jc w:val="center"/>
      </w:pPr>
      <w:r>
        <w:rPr>
          <w:rFonts w:ascii="Arial" w:cs="Arial" w:eastAsia="Arial" w:hAnsi="Arial"/>
          <w:color w:val="7F8C8D"/>
          <w:sz w:val="24"/>
          <w:szCs w:val="24"/>
        </w:rPr>
        <w:t xml:space="preserve">Period: February 2026</w:t>
      </w:r>
    </w:p>
    <w:p>
      <w:pPr>
        <w:jc w:val="center"/>
      </w:pPr>
      <w:r>
        <w:rPr>
          <w:rFonts w:ascii="Arial" w:cs="Arial" w:eastAsia="Arial" w:hAnsi="Arial"/>
          <w:color w:val="7F8C8D"/>
          <w:sz w:val="20"/>
          <w:szCs w:val="20"/>
        </w:rPr>
        <w:t xml:space="preserve">Prepared: 18 March 2026</w:t>
      </w:r>
    </w:p>
    <w:p>
      <w:pPr>
        <w:spacing w:after="1200"/>
      </w:pPr>
      <w:r>
        <w:rPr>
          <w:rFonts w:ascii="Arial" w:cs="Arial" w:eastAsia="Arial" w:hAnsi="Arial"/>
          <w:sz w:val="20"/>
          <w:szCs w:val="20"/>
        </w:rPr>
        <w:t xml:space="preserve"/>
      </w:r>
    </w:p>
    <w:p>
      <w:pPr>
        <w:jc w:val="center"/>
      </w:pPr>
      <w:r>
        <w:rPr>
          <w:rFonts w:ascii="Arial" w:cs="Arial" w:eastAsia="Arial" w:hAnsi="Arial"/>
          <w:i/>
          <w:iCs/>
          <w:color w:val="7F8C8D"/>
          <w:sz w:val="20"/>
          <w:szCs w:val="20"/>
        </w:rPr>
        <w:t xml:space="preserve">Prepared for the Board of Directors</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28"/>
          <w:szCs w:val="28"/>
        </w:rPr>
        <w:t xml:space="preserve">1. Executive Summary</w:t>
      </w:r>
    </w:p>
    <w:p>
      <w:pPr>
        <w:spacing w:after="120"/>
      </w:pPr>
      <w:r>
        <w:rPr>
          <w:rFonts w:ascii="Arial" w:cs="Arial" w:eastAsia="Arial" w:hAnsi="Arial"/>
          <w:color w:val="333333"/>
          <w:sz w:val="20"/>
          <w:szCs w:val="20"/>
        </w:rPr>
        <w:t xml:space="preserve">This report presents the financial and commercial performance of [Company Name] Ltd for the month ending 28 February 2026, together with a 12-month forward financial forecast. The business continues to trade in line with plan, with strong revenue growth offset by planned investment in headcount.</w:t>
      </w:r>
    </w:p>
    <w:p>
      <w:pPr>
        <w:spacing w:after="12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4"/>
          <w:szCs w:val="24"/>
        </w:rPr>
        <w:t xml:space="preserve">Overall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 Revenue: On Track</w:t>
            </w:r>
          </w:p>
        </w:tc>
        <w:tc>
          <w:tcPr>
            <w:tcW w:type="dxa" w:w="3008"/>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center"/>
            </w:pPr>
            <w:r>
              <w:rPr>
                <w:rFonts w:ascii="Arial" w:cs="Arial" w:eastAsia="Arial" w:hAnsi="Arial"/>
                <w:b/>
                <w:bCs/>
                <w:color w:val="F39C12"/>
                <w:sz w:val="18"/>
                <w:szCs w:val="18"/>
              </w:rPr>
              <w:t xml:space="preserve">● Profitability: Watch</w:t>
            </w:r>
          </w:p>
        </w:tc>
        <w:tc>
          <w:tcPr>
            <w:tcW w:type="dxa" w:w="3008"/>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 Cash: Healthy</w:t>
            </w:r>
          </w:p>
        </w:tc>
      </w:tr>
    </w:tbl>
    <w:p>
      <w:pPr>
        <w:spacing w:after="2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4"/>
          <w:szCs w:val="24"/>
        </w:rPr>
        <w:t xml:space="preserve">Key Performance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7AE60" w:sz="4"/>
              <w:left w:val="single" w:color="CCCCCC" w:sz="1"/>
              <w:bottom w:val="single" w:color="CCCCCC" w:sz="1"/>
              <w:right w:val="single" w:color="CCCCCC" w:sz="1"/>
            </w:tcBorders>
            <w:shd w:fill="F5F6FA" w:val="clear"/>
            <w:tcMar>
              <w:top w:type="dxa" w:w="60"/>
              <w:left w:type="dxa" w:w="100"/>
              <w:bottom w:type="dxa" w:w="60"/>
              <w:right w:type="dxa" w:w="100"/>
            </w:tcMar>
          </w:tcPr>
          <w:p>
            <w:pPr>
              <w:jc w:val="center"/>
            </w:pPr>
            <w:r>
              <w:rPr>
                <w:rFonts w:ascii="Arial" w:cs="Arial" w:eastAsia="Arial" w:hAnsi="Arial"/>
                <w:color w:val="7F8C8D"/>
                <w:sz w:val="16"/>
                <w:szCs w:val="16"/>
              </w:rPr>
              <w:t xml:space="preserve">Monthly Revenue</w:t>
            </w:r>
          </w:p>
          <w:p>
            <w:pPr>
              <w:jc w:val="center"/>
            </w:pPr>
            <w:r>
              <w:rPr>
                <w:rFonts w:ascii="Arial" w:cs="Arial" w:eastAsia="Arial" w:hAnsi="Arial"/>
                <w:b/>
                <w:bCs/>
                <w:color w:val="1B2A4A"/>
                <w:sz w:val="28"/>
                <w:szCs w:val="28"/>
              </w:rPr>
              <w:t xml:space="preserve">£412,500</w:t>
            </w:r>
          </w:p>
          <w:p>
            <w:pPr>
              <w:jc w:val="center"/>
            </w:pPr>
            <w:r>
              <w:rPr>
                <w:rFonts w:ascii="Arial" w:cs="Arial" w:eastAsia="Arial" w:hAnsi="Arial"/>
                <w:color w:val="27AE60"/>
                <w:sz w:val="16"/>
                <w:szCs w:val="16"/>
              </w:rPr>
              <w:t xml:space="preserve">▲ +8.2% MoM</w:t>
            </w:r>
          </w:p>
        </w:tc>
        <w:tc>
          <w:tcPr>
            <w:tcW w:type="dxa" w:w="2256"/>
            <w:tcBorders>
              <w:top w:val="single" w:color="27AE60" w:sz="4"/>
              <w:left w:val="single" w:color="CCCCCC" w:sz="1"/>
              <w:bottom w:val="single" w:color="CCCCCC" w:sz="1"/>
              <w:right w:val="single" w:color="CCCCCC" w:sz="1"/>
            </w:tcBorders>
            <w:shd w:fill="F5F6FA" w:val="clear"/>
            <w:tcMar>
              <w:top w:type="dxa" w:w="60"/>
              <w:left w:type="dxa" w:w="100"/>
              <w:bottom w:type="dxa" w:w="60"/>
              <w:right w:type="dxa" w:w="100"/>
            </w:tcMar>
          </w:tcPr>
          <w:p>
            <w:pPr>
              <w:jc w:val="center"/>
            </w:pPr>
            <w:r>
              <w:rPr>
                <w:rFonts w:ascii="Arial" w:cs="Arial" w:eastAsia="Arial" w:hAnsi="Arial"/>
                <w:color w:val="7F8C8D"/>
                <w:sz w:val="16"/>
                <w:szCs w:val="16"/>
              </w:rPr>
              <w:t xml:space="preserve">Gross Margin</w:t>
            </w:r>
          </w:p>
          <w:p>
            <w:pPr>
              <w:jc w:val="center"/>
            </w:pPr>
            <w:r>
              <w:rPr>
                <w:rFonts w:ascii="Arial" w:cs="Arial" w:eastAsia="Arial" w:hAnsi="Arial"/>
                <w:b/>
                <w:bCs/>
                <w:color w:val="1B2A4A"/>
                <w:sz w:val="28"/>
                <w:szCs w:val="28"/>
              </w:rPr>
              <w:t xml:space="preserve">62.4%</w:t>
            </w:r>
          </w:p>
          <w:p>
            <w:pPr>
              <w:jc w:val="center"/>
            </w:pPr>
            <w:r>
              <w:rPr>
                <w:rFonts w:ascii="Arial" w:cs="Arial" w:eastAsia="Arial" w:hAnsi="Arial"/>
                <w:color w:val="27AE60"/>
                <w:sz w:val="16"/>
                <w:szCs w:val="16"/>
              </w:rPr>
              <w:t xml:space="preserve">▲ +1.2pp</w:t>
            </w:r>
          </w:p>
        </w:tc>
        <w:tc>
          <w:tcPr>
            <w:tcW w:type="dxa" w:w="2256"/>
            <w:tcBorders>
              <w:top w:val="single" w:color="E74C3C" w:sz="4"/>
              <w:left w:val="single" w:color="CCCCCC" w:sz="1"/>
              <w:bottom w:val="single" w:color="CCCCCC" w:sz="1"/>
              <w:right w:val="single" w:color="CCCCCC" w:sz="1"/>
            </w:tcBorders>
            <w:shd w:fill="F5F6FA" w:val="clear"/>
            <w:tcMar>
              <w:top w:type="dxa" w:w="60"/>
              <w:left w:type="dxa" w:w="100"/>
              <w:bottom w:type="dxa" w:w="60"/>
              <w:right w:type="dxa" w:w="100"/>
            </w:tcMar>
          </w:tcPr>
          <w:p>
            <w:pPr>
              <w:jc w:val="center"/>
            </w:pPr>
            <w:r>
              <w:rPr>
                <w:rFonts w:ascii="Arial" w:cs="Arial" w:eastAsia="Arial" w:hAnsi="Arial"/>
                <w:color w:val="7F8C8D"/>
                <w:sz w:val="16"/>
                <w:szCs w:val="16"/>
              </w:rPr>
              <w:t xml:space="preserve">EBITDA</w:t>
            </w:r>
          </w:p>
          <w:p>
            <w:pPr>
              <w:jc w:val="center"/>
            </w:pPr>
            <w:r>
              <w:rPr>
                <w:rFonts w:ascii="Arial" w:cs="Arial" w:eastAsia="Arial" w:hAnsi="Arial"/>
                <w:b/>
                <w:bCs/>
                <w:color w:val="1B2A4A"/>
                <w:sz w:val="28"/>
                <w:szCs w:val="28"/>
              </w:rPr>
              <w:t xml:space="preserve">£58,200</w:t>
            </w:r>
          </w:p>
          <w:p>
            <w:pPr>
              <w:jc w:val="center"/>
            </w:pPr>
            <w:r>
              <w:rPr>
                <w:rFonts w:ascii="Arial" w:cs="Arial" w:eastAsia="Arial" w:hAnsi="Arial"/>
                <w:color w:val="E74C3C"/>
                <w:sz w:val="16"/>
                <w:szCs w:val="16"/>
              </w:rPr>
              <w:t xml:space="preserve">▼ -3.1%</w:t>
            </w:r>
          </w:p>
        </w:tc>
        <w:tc>
          <w:tcPr>
            <w:tcW w:type="dxa" w:w="2256"/>
            <w:tcBorders>
              <w:top w:val="single" w:color="27AE60" w:sz="4"/>
              <w:left w:val="single" w:color="CCCCCC" w:sz="1"/>
              <w:bottom w:val="single" w:color="CCCCCC" w:sz="1"/>
              <w:right w:val="single" w:color="CCCCCC" w:sz="1"/>
            </w:tcBorders>
            <w:shd w:fill="F5F6FA" w:val="clear"/>
            <w:tcMar>
              <w:top w:type="dxa" w:w="60"/>
              <w:left w:type="dxa" w:w="100"/>
              <w:bottom w:type="dxa" w:w="60"/>
              <w:right w:type="dxa" w:w="100"/>
            </w:tcMar>
          </w:tcPr>
          <w:p>
            <w:pPr>
              <w:jc w:val="center"/>
            </w:pPr>
            <w:r>
              <w:rPr>
                <w:rFonts w:ascii="Arial" w:cs="Arial" w:eastAsia="Arial" w:hAnsi="Arial"/>
                <w:color w:val="7F8C8D"/>
                <w:sz w:val="16"/>
                <w:szCs w:val="16"/>
              </w:rPr>
              <w:t xml:space="preserve">Cash Balance</w:t>
            </w:r>
          </w:p>
          <w:p>
            <w:pPr>
              <w:jc w:val="center"/>
            </w:pPr>
            <w:r>
              <w:rPr>
                <w:rFonts w:ascii="Arial" w:cs="Arial" w:eastAsia="Arial" w:hAnsi="Arial"/>
                <w:b/>
                <w:bCs/>
                <w:color w:val="1B2A4A"/>
                <w:sz w:val="28"/>
                <w:szCs w:val="28"/>
              </w:rPr>
              <w:t xml:space="preserve">£892,000</w:t>
            </w:r>
          </w:p>
          <w:p>
            <w:pPr>
              <w:jc w:val="center"/>
            </w:pPr>
            <w:r>
              <w:rPr>
                <w:rFonts w:ascii="Arial" w:cs="Arial" w:eastAsia="Arial" w:hAnsi="Arial"/>
                <w:color w:val="27AE60"/>
                <w:sz w:val="16"/>
                <w:szCs w:val="16"/>
              </w:rPr>
              <w:t xml:space="preserve">▲ +£45K</w:t>
            </w:r>
          </w:p>
        </w:tc>
      </w:tr>
    </w:tbl>
    <w:p>
      <w:pPr>
        <w:spacing w:after="12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7AE60" w:sz="4"/>
              <w:left w:val="single" w:color="CCCCCC" w:sz="1"/>
              <w:bottom w:val="single" w:color="CCCCCC" w:sz="1"/>
              <w:right w:val="single" w:color="CCCCCC" w:sz="1"/>
            </w:tcBorders>
            <w:shd w:fill="F5F6FA" w:val="clear"/>
            <w:tcMar>
              <w:top w:type="dxa" w:w="60"/>
              <w:left w:type="dxa" w:w="100"/>
              <w:bottom w:type="dxa" w:w="60"/>
              <w:right w:type="dxa" w:w="100"/>
            </w:tcMar>
          </w:tcPr>
          <w:p>
            <w:pPr>
              <w:jc w:val="center"/>
            </w:pPr>
            <w:r>
              <w:rPr>
                <w:rFonts w:ascii="Arial" w:cs="Arial" w:eastAsia="Arial" w:hAnsi="Arial"/>
                <w:color w:val="7F8C8D"/>
                <w:sz w:val="16"/>
                <w:szCs w:val="16"/>
              </w:rPr>
              <w:t xml:space="preserve">Utilisation Rate</w:t>
            </w:r>
          </w:p>
          <w:p>
            <w:pPr>
              <w:jc w:val="center"/>
            </w:pPr>
            <w:r>
              <w:rPr>
                <w:rFonts w:ascii="Arial" w:cs="Arial" w:eastAsia="Arial" w:hAnsi="Arial"/>
                <w:b/>
                <w:bCs/>
                <w:color w:val="1B2A4A"/>
                <w:sz w:val="28"/>
                <w:szCs w:val="28"/>
              </w:rPr>
              <w:t xml:space="preserve">78%</w:t>
            </w:r>
          </w:p>
          <w:p>
            <w:pPr>
              <w:jc w:val="center"/>
            </w:pPr>
            <w:r>
              <w:rPr>
                <w:rFonts w:ascii="Arial" w:cs="Arial" w:eastAsia="Arial" w:hAnsi="Arial"/>
                <w:color w:val="27AE60"/>
                <w:sz w:val="16"/>
                <w:szCs w:val="16"/>
              </w:rPr>
              <w:t xml:space="preserve">▲ +2pp</w:t>
            </w:r>
          </w:p>
        </w:tc>
        <w:tc>
          <w:tcPr>
            <w:tcW w:type="dxa" w:w="2256"/>
            <w:tcBorders>
              <w:top w:val="single" w:color="27AE60" w:sz="4"/>
              <w:left w:val="single" w:color="CCCCCC" w:sz="1"/>
              <w:bottom w:val="single" w:color="CCCCCC" w:sz="1"/>
              <w:right w:val="single" w:color="CCCCCC" w:sz="1"/>
            </w:tcBorders>
            <w:shd w:fill="F5F6FA" w:val="clear"/>
            <w:tcMar>
              <w:top w:type="dxa" w:w="60"/>
              <w:left w:type="dxa" w:w="100"/>
              <w:bottom w:type="dxa" w:w="60"/>
              <w:right w:type="dxa" w:w="100"/>
            </w:tcMar>
          </w:tcPr>
          <w:p>
            <w:pPr>
              <w:jc w:val="center"/>
            </w:pPr>
            <w:r>
              <w:rPr>
                <w:rFonts w:ascii="Arial" w:cs="Arial" w:eastAsia="Arial" w:hAnsi="Arial"/>
                <w:color w:val="7F8C8D"/>
                <w:sz w:val="16"/>
                <w:szCs w:val="16"/>
              </w:rPr>
              <w:t xml:space="preserve">Pipeline Value</w:t>
            </w:r>
          </w:p>
          <w:p>
            <w:pPr>
              <w:jc w:val="center"/>
            </w:pPr>
            <w:r>
              <w:rPr>
                <w:rFonts w:ascii="Arial" w:cs="Arial" w:eastAsia="Arial" w:hAnsi="Arial"/>
                <w:b/>
                <w:bCs/>
                <w:color w:val="1B2A4A"/>
                <w:sz w:val="28"/>
                <w:szCs w:val="28"/>
              </w:rPr>
              <w:t xml:space="preserve">£1.8M</w:t>
            </w:r>
          </w:p>
          <w:p>
            <w:pPr>
              <w:jc w:val="center"/>
            </w:pPr>
            <w:r>
              <w:rPr>
                <w:rFonts w:ascii="Arial" w:cs="Arial" w:eastAsia="Arial" w:hAnsi="Arial"/>
                <w:color w:val="27AE60"/>
                <w:sz w:val="16"/>
                <w:szCs w:val="16"/>
              </w:rPr>
              <w:t xml:space="preserve">▲ +15%</w:t>
            </w:r>
          </w:p>
        </w:tc>
        <w:tc>
          <w:tcPr>
            <w:tcW w:type="dxa" w:w="2256"/>
            <w:tcBorders>
              <w:top w:val="single" w:color="27AE60" w:sz="4"/>
              <w:left w:val="single" w:color="CCCCCC" w:sz="1"/>
              <w:bottom w:val="single" w:color="CCCCCC" w:sz="1"/>
              <w:right w:val="single" w:color="CCCCCC" w:sz="1"/>
            </w:tcBorders>
            <w:shd w:fill="F5F6FA" w:val="clear"/>
            <w:tcMar>
              <w:top w:type="dxa" w:w="60"/>
              <w:left w:type="dxa" w:w="100"/>
              <w:bottom w:type="dxa" w:w="60"/>
              <w:right w:type="dxa" w:w="100"/>
            </w:tcMar>
          </w:tcPr>
          <w:p>
            <w:pPr>
              <w:jc w:val="center"/>
            </w:pPr>
            <w:r>
              <w:rPr>
                <w:rFonts w:ascii="Arial" w:cs="Arial" w:eastAsia="Arial" w:hAnsi="Arial"/>
                <w:color w:val="7F8C8D"/>
                <w:sz w:val="16"/>
                <w:szCs w:val="16"/>
              </w:rPr>
              <w:t xml:space="preserve">Headcount</w:t>
            </w:r>
          </w:p>
          <w:p>
            <w:pPr>
              <w:jc w:val="center"/>
            </w:pPr>
            <w:r>
              <w:rPr>
                <w:rFonts w:ascii="Arial" w:cs="Arial" w:eastAsia="Arial" w:hAnsi="Arial"/>
                <w:b/>
                <w:bCs/>
                <w:color w:val="1B2A4A"/>
                <w:sz w:val="28"/>
                <w:szCs w:val="28"/>
              </w:rPr>
              <w:t xml:space="preserve">32 FTE</w:t>
            </w:r>
          </w:p>
          <w:p>
            <w:pPr>
              <w:jc w:val="center"/>
            </w:pPr>
            <w:r>
              <w:rPr>
                <w:rFonts w:ascii="Arial" w:cs="Arial" w:eastAsia="Arial" w:hAnsi="Arial"/>
                <w:color w:val="27AE60"/>
                <w:sz w:val="16"/>
                <w:szCs w:val="16"/>
              </w:rPr>
              <w:t xml:space="preserve">▲ +2</w:t>
            </w:r>
          </w:p>
        </w:tc>
        <w:tc>
          <w:tcPr>
            <w:tcW w:type="dxa" w:w="2256"/>
            <w:tcBorders>
              <w:top w:val="single" w:color="27AE60" w:sz="4"/>
              <w:left w:val="single" w:color="CCCCCC" w:sz="1"/>
              <w:bottom w:val="single" w:color="CCCCCC" w:sz="1"/>
              <w:right w:val="single" w:color="CCCCCC" w:sz="1"/>
            </w:tcBorders>
            <w:shd w:fill="F5F6FA" w:val="clear"/>
            <w:tcMar>
              <w:top w:type="dxa" w:w="60"/>
              <w:left w:type="dxa" w:w="100"/>
              <w:bottom w:type="dxa" w:w="60"/>
              <w:right w:type="dxa" w:w="100"/>
            </w:tcMar>
          </w:tcPr>
          <w:p>
            <w:pPr>
              <w:jc w:val="center"/>
            </w:pPr>
            <w:r>
              <w:rPr>
                <w:rFonts w:ascii="Arial" w:cs="Arial" w:eastAsia="Arial" w:hAnsi="Arial"/>
                <w:color w:val="7F8C8D"/>
                <w:sz w:val="16"/>
                <w:szCs w:val="16"/>
              </w:rPr>
              <w:t xml:space="preserve">Revenue / Head</w:t>
            </w:r>
          </w:p>
          <w:p>
            <w:pPr>
              <w:jc w:val="center"/>
            </w:pPr>
            <w:r>
              <w:rPr>
                <w:rFonts w:ascii="Arial" w:cs="Arial" w:eastAsia="Arial" w:hAnsi="Arial"/>
                <w:b/>
                <w:bCs/>
                <w:color w:val="1B2A4A"/>
                <w:sz w:val="28"/>
                <w:szCs w:val="28"/>
              </w:rPr>
              <w:t xml:space="preserve">£12,891</w:t>
            </w:r>
          </w:p>
          <w:p>
            <w:pPr>
              <w:jc w:val="center"/>
            </w:pPr>
            <w:r>
              <w:rPr>
                <w:rFonts w:ascii="Arial" w:cs="Arial" w:eastAsia="Arial" w:hAnsi="Arial"/>
                <w:color w:val="27AE60"/>
                <w:sz w:val="16"/>
                <w:szCs w:val="16"/>
              </w:rPr>
              <w:t xml:space="preserve">▲ +1.4%</w:t>
            </w:r>
          </w:p>
        </w:tc>
      </w:tr>
    </w:tbl>
    <w:p>
      <w:r>
        <w:br w:type="page"/>
      </w:r>
    </w:p>
    <w:p>
      <w:pPr>
        <w:pStyle w:val="Heading1"/>
        <w:spacing w:after="200" w:before="360"/>
      </w:pPr>
      <w:r>
        <w:rPr>
          <w:rFonts w:ascii="Arial" w:cs="Arial" w:eastAsia="Arial" w:hAnsi="Arial"/>
          <w:b/>
          <w:bCs/>
          <w:color w:val="1B2A4A"/>
          <w:sz w:val="28"/>
          <w:szCs w:val="28"/>
        </w:rPr>
        <w:t xml:space="preserve">2. Commercial Performance</w:t>
      </w:r>
    </w:p>
    <w:p>
      <w:pPr>
        <w:spacing w:after="120"/>
      </w:pPr>
      <w:r>
        <w:rPr>
          <w:rFonts w:ascii="Arial" w:cs="Arial" w:eastAsia="Arial" w:hAnsi="Arial"/>
          <w:color w:val="333333"/>
          <w:sz w:val="20"/>
          <w:szCs w:val="20"/>
        </w:rPr>
        <w:t xml:space="preserve">Revenue for February 2026 was £412,500, representing 8.2% growth month-on-month and tracking 4% ahead of budget. The growth was driven by two new client engagements and expansion of scope with an existing enterprise account.</w:t>
      </w:r>
    </w:p>
    <w:p>
      <w:pPr>
        <w:spacing w:after="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4"/>
          <w:szCs w:val="24"/>
        </w:rPr>
        <w:t xml:space="preserve">2.1 Revenue by Service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832"/>
        <w:gridCol w:w="832"/>
        <w:gridCol w:w="832"/>
        <w:gridCol w:w="832"/>
        <w:gridCol w:w="832"/>
        <w:gridCol w:w="832"/>
        <w:gridCol w:w="832"/>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Service Line</w:t>
            </w:r>
          </w:p>
        </w:tc>
        <w:tc>
          <w:tcPr>
            <w:tcW w:type="dxa" w:w="83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Feb 2026</w:t>
            </w:r>
          </w:p>
        </w:tc>
        <w:tc>
          <w:tcPr>
            <w:tcW w:type="dxa" w:w="83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Jan 2026</w:t>
            </w:r>
          </w:p>
        </w:tc>
        <w:tc>
          <w:tcPr>
            <w:tcW w:type="dxa" w:w="83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Var (£)</w:t>
            </w:r>
          </w:p>
        </w:tc>
        <w:tc>
          <w:tcPr>
            <w:tcW w:type="dxa" w:w="83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Var (%)</w:t>
            </w:r>
          </w:p>
        </w:tc>
        <w:tc>
          <w:tcPr>
            <w:tcW w:type="dxa" w:w="83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YTD 2026</w:t>
            </w:r>
          </w:p>
        </w:tc>
        <w:tc>
          <w:tcPr>
            <w:tcW w:type="dxa" w:w="83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Budget YTD</w:t>
            </w:r>
          </w:p>
        </w:tc>
        <w:tc>
          <w:tcPr>
            <w:tcW w:type="dxa" w:w="83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Var (%)</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Strategy Consulting</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£168,000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£155,000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8.4%</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£323,000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£310,000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Technology Advisory</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£124,500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£112,000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£12,500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11.2%</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£236,500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£225,000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Managed Services</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£85,000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£82,000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3.7%</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£167,000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£165,000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Training &amp; Workshops</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£35,000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£32,000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9.4%</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£67,000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£60,000</w:t>
            </w:r>
          </w:p>
        </w:tc>
        <w:tc>
          <w:tcPr>
            <w:tcW w:type="dxa" w:w="8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11.7%</w:t>
            </w:r>
          </w:p>
        </w:tc>
      </w:tr>
      <w:tr>
        <w:tc>
          <w:tcPr>
            <w:tcW w:type="dxa" w:w="3200"/>
            <w:tcBorders>
              <w:top w:val="single" w:color="1B2A4A" w:sz="2"/>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Total Revenue</w:t>
            </w:r>
          </w:p>
        </w:tc>
        <w:tc>
          <w:tcPr>
            <w:tcW w:type="dxa" w:w="83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£412,500</w:t>
            </w:r>
          </w:p>
        </w:tc>
        <w:tc>
          <w:tcPr>
            <w:tcW w:type="dxa" w:w="83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£381,000</w:t>
            </w:r>
          </w:p>
        </w:tc>
        <w:tc>
          <w:tcPr>
            <w:tcW w:type="dxa" w:w="83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£31,500</w:t>
            </w:r>
          </w:p>
        </w:tc>
        <w:tc>
          <w:tcPr>
            <w:tcW w:type="dxa" w:w="83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8.3%</w:t>
            </w:r>
          </w:p>
        </w:tc>
        <w:tc>
          <w:tcPr>
            <w:tcW w:type="dxa" w:w="83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£793,500</w:t>
            </w:r>
          </w:p>
        </w:tc>
        <w:tc>
          <w:tcPr>
            <w:tcW w:type="dxa" w:w="83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£760,000</w:t>
            </w:r>
          </w:p>
        </w:tc>
        <w:tc>
          <w:tcPr>
            <w:tcW w:type="dxa" w:w="83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4.4%</w:t>
            </w:r>
          </w:p>
        </w:tc>
      </w:tr>
    </w:tbl>
    <w:p>
      <w:pPr>
        <w:spacing w:after="2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4"/>
          <w:szCs w:val="24"/>
        </w:rPr>
        <w:t xml:space="preserve">2.2 Top 10 Clients by Revenue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56"/>
        <w:gridCol w:w="1456"/>
        <w:gridCol w:w="1456"/>
        <w:gridCol w:w="1456"/>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Client</w:t>
            </w:r>
          </w:p>
        </w:tc>
        <w:tc>
          <w:tcPr>
            <w:tcW w:type="dxa" w:w="145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Feb 2026</w:t>
            </w:r>
          </w:p>
        </w:tc>
        <w:tc>
          <w:tcPr>
            <w:tcW w:type="dxa" w:w="145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Cumulative FY</w:t>
            </w:r>
          </w:p>
        </w:tc>
        <w:tc>
          <w:tcPr>
            <w:tcW w:type="dxa" w:w="145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Contract Value</w:t>
            </w:r>
          </w:p>
        </w:tc>
        <w:tc>
          <w:tcPr>
            <w:tcW w:type="dxa" w:w="145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Utilised (%)</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Barclays PLC</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£72,000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£142,000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£450,000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NHS Digital</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£58,000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£380,000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29%</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Unilever Group</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£45,000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£85,000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£200,000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Deloitte (subcontract)</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£42,000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£78,000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£150,000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Transport for London</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£38,500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£75,000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£280,000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27%</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Rolls-Royce Holdings</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£36,000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£68,000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£240,000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AstraZeneca</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£32,000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£175,000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HMRC</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£28,000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£56,000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£320,000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Legal &amp; General</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£25,000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£48,500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Sage Group</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£22,000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£95,000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42%</w:t>
            </w:r>
          </w:p>
        </w:tc>
      </w:tr>
    </w:tbl>
    <w:p>
      <w:pPr>
        <w:spacing w:after="2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4"/>
          <w:szCs w:val="24"/>
        </w:rPr>
        <w:t xml:space="preserve">2.3 Pipeline &amp; New Business</w:t>
      </w:r>
    </w:p>
    <w:p>
      <w:pPr>
        <w:spacing w:after="120"/>
      </w:pPr>
      <w:r>
        <w:rPr>
          <w:rFonts w:ascii="Arial" w:cs="Arial" w:eastAsia="Arial" w:hAnsi="Arial"/>
          <w:color w:val="333333"/>
          <w:sz w:val="20"/>
          <w:szCs w:val="20"/>
        </w:rPr>
        <w:t xml:space="preserve">The weighted pipeline stands at £1.8M, up 15% from prior month. Three proposals were submitted in February, with two expected to close in March.</w:t>
      </w:r>
    </w:p>
    <w:p>
      <w:pPr>
        <w:spacing w:after="10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56"/>
        <w:gridCol w:w="1456"/>
        <w:gridCol w:w="1456"/>
        <w:gridCol w:w="1456"/>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Opportunity</w:t>
            </w:r>
          </w:p>
        </w:tc>
        <w:tc>
          <w:tcPr>
            <w:tcW w:type="dxa" w:w="145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Stage</w:t>
            </w:r>
          </w:p>
        </w:tc>
        <w:tc>
          <w:tcPr>
            <w:tcW w:type="dxa" w:w="145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Value</w:t>
            </w:r>
          </w:p>
        </w:tc>
        <w:tc>
          <w:tcPr>
            <w:tcW w:type="dxa" w:w="145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Weighted</w:t>
            </w:r>
          </w:p>
        </w:tc>
        <w:tc>
          <w:tcPr>
            <w:tcW w:type="dxa" w:w="145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Expected Close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GlobalCo — Digital Strategy</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Proposal Sent</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£280,000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£168,000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Mar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MegaCorp — AI Advisory</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Negotiation</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£420,000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£336,000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Apr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GovDept — Compliance Review</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Proposal Sent</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£150,000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Mar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RetailCo — Tech Audit</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Qualified</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£200,000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May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FinServ Ltd — Managed Svc</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Discovery</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£360,000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£108,000</w:t>
            </w:r>
          </w:p>
        </w:tc>
        <w:tc>
          <w:tcPr>
            <w:tcW w:type="dxa" w:w="14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Jun 2026</w:t>
            </w:r>
          </w:p>
        </w:tc>
      </w:tr>
      <w:tr>
        <w:tc>
          <w:tcPr>
            <w:tcW w:type="dxa" w:w="3200"/>
            <w:tcBorders>
              <w:top w:val="single" w:color="1B2A4A" w:sz="2"/>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Total Pipeline</w:t>
            </w:r>
          </w:p>
        </w:tc>
        <w:tc>
          <w:tcPr>
            <w:tcW w:type="dxa" w:w="1456"/>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456"/>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£1,410,000</w:t>
            </w:r>
          </w:p>
        </w:tc>
        <w:tc>
          <w:tcPr>
            <w:tcW w:type="dxa" w:w="1456"/>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£782,000</w:t>
            </w:r>
          </w:p>
        </w:tc>
        <w:tc>
          <w:tcPr>
            <w:tcW w:type="dxa" w:w="1456"/>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r>
    </w:tbl>
    <w:p>
      <w:r>
        <w:br w:type="page"/>
      </w:r>
    </w:p>
    <w:p>
      <w:pPr>
        <w:pStyle w:val="Heading1"/>
        <w:spacing w:after="200" w:before="360"/>
      </w:pPr>
      <w:r>
        <w:rPr>
          <w:rFonts w:ascii="Arial" w:cs="Arial" w:eastAsia="Arial" w:hAnsi="Arial"/>
          <w:b/>
          <w:bCs/>
          <w:color w:val="1B2A4A"/>
          <w:sz w:val="28"/>
          <w:szCs w:val="28"/>
        </w:rPr>
        <w:t xml:space="preserve">3. Income Statement (Profit &amp; Loss)</w:t>
      </w:r>
    </w:p>
    <w:p>
      <w:pPr>
        <w:spacing w:after="120"/>
      </w:pPr>
      <w:r>
        <w:rPr>
          <w:rFonts w:ascii="Arial" w:cs="Arial" w:eastAsia="Arial" w:hAnsi="Arial"/>
          <w:color w:val="333333"/>
          <w:sz w:val="20"/>
          <w:szCs w:val="20"/>
        </w:rPr>
        <w:t xml:space="preserve">The income statement below presents actual results for February 2026 compared with the prior month and budget, together with year-to-date figures.</w:t>
      </w:r>
    </w:p>
    <w:p>
      <w:pPr>
        <w:spacing w:after="10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71"/>
        <w:gridCol w:w="971"/>
        <w:gridCol w:w="971"/>
        <w:gridCol w:w="971"/>
        <w:gridCol w:w="971"/>
        <w:gridCol w:w="971"/>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Feb Actual</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Feb Budget</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Var (£)</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Var (%)</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YTD Actual</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YTD Budget</w:t>
            </w:r>
          </w:p>
        </w:tc>
      </w:tr>
      <w:tr>
        <w:tc>
          <w:tcPr>
            <w:tcW w:type="dxa" w:w="3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ind w:left="0"/>
            </w:pPr>
            <w:r>
              <w:rPr>
                <w:rFonts w:ascii="Arial" w:cs="Arial" w:eastAsia="Arial" w:hAnsi="Arial"/>
                <w:b/>
                <w:bCs/>
                <w:sz w:val="18"/>
                <w:szCs w:val="18"/>
              </w:rPr>
              <w:t xml:space="preserve">REVENUE</w:t>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Consulting fees</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£337,000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£320,000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£17,000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£649,000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£640,000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Managed services</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£85,000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£82,000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3.7%</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£167,000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£165,000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Training &amp; other</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£35,000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£30,000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16.7%</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£67,000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£60,000</w:t>
            </w:r>
          </w:p>
        </w:tc>
      </w:tr>
      <w:tr>
        <w:tc>
          <w:tcPr>
            <w:tcW w:type="dxa" w:w="3200"/>
            <w:tcBorders>
              <w:top w:val="single" w:color="1B2A4A" w:sz="2"/>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Total Revenue</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£412,500</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£396,000</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£16,500</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4.2%</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£793,500</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£765,000</w:t>
            </w:r>
          </w:p>
        </w:tc>
      </w:tr>
      <w:tr>
        <w:tc>
          <w:tcPr>
            <w:tcW w:type="dxa" w:w="3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ind w:left="0"/>
            </w:pPr>
            <w:r>
              <w:rPr>
                <w:rFonts w:ascii="Arial" w:cs="Arial" w:eastAsia="Arial" w:hAnsi="Arial"/>
                <w:b/>
                <w:bCs/>
                <w:sz w:val="18"/>
                <w:szCs w:val="18"/>
              </w:rPr>
              <w:t xml:space="preserve">COST OF REVENUE</w:t>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Consultant salaries</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£118,000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£115,000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(£3,000)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-2.6%</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£230,000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£228,000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Contractor costs</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£24,500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£22,000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(£2,500)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-11.4%</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£47,000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£44,000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Travel &amp; subsistence</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£12,600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(£2,600)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-26.0%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£23,800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£20,000</w:t>
            </w:r>
          </w:p>
        </w:tc>
      </w:tr>
      <w:tr>
        <w:tc>
          <w:tcPr>
            <w:tcW w:type="dxa" w:w="3200"/>
            <w:tcBorders>
              <w:top w:val="single" w:color="1B2A4A" w:sz="2"/>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Total Cost of Revenue</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£155,100</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£147,000</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E74C3C"/>
                <w:sz w:val="18"/>
                <w:szCs w:val="18"/>
              </w:rPr>
              <w:t xml:space="preserve">(£8,100)</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-5.5%</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£300,800</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£292,000</w:t>
            </w:r>
          </w:p>
        </w:tc>
      </w:tr>
      <w:t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ind w:left="0"/>
            </w:pPr>
            <w:r>
              <w:rPr>
                <w:rFonts w:ascii="Arial" w:cs="Arial" w:eastAsia="Arial" w:hAnsi="Arial"/>
                <w:b/>
                <w:bCs/>
                <w:sz w:val="18"/>
                <w:szCs w:val="18"/>
              </w:rPr>
              <w:t xml:space="preserve">Gross Profit</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£257,400</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£249,000</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£8,400</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3.4%</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£492,700</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£473,000</w:t>
            </w:r>
          </w:p>
        </w:tc>
      </w:tr>
      <w:t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ind w:left="0"/>
            </w:pPr>
            <w:r>
              <w:rPr>
                <w:rFonts w:ascii="Arial" w:cs="Arial" w:eastAsia="Arial" w:hAnsi="Arial"/>
                <w:b w:val="false"/>
                <w:bCs w:val="false"/>
                <w:sz w:val="18"/>
                <w:szCs w:val="18"/>
              </w:rPr>
              <w:t xml:space="preserve">Gross Margin %</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62.4%</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62.9%</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(0.5pp)</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62.1%</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61.8%</w:t>
            </w:r>
          </w:p>
        </w:tc>
      </w:tr>
      <w:tr>
        <w:tc>
          <w:tcPr>
            <w:tcW w:type="dxa" w:w="3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ind w:left="0"/>
            </w:pPr>
            <w:r>
              <w:rPr>
                <w:rFonts w:ascii="Arial" w:cs="Arial" w:eastAsia="Arial" w:hAnsi="Arial"/>
                <w:b/>
                <w:bCs/>
                <w:sz w:val="18"/>
                <w:szCs w:val="18"/>
              </w:rPr>
              <w:t xml:space="preserve">OPERATING EXPENSES</w:t>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Staff costs (non-delivery)</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£78,000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£75,000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(£3,000)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£152,000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£148,000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Office &amp; facilities</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£18,500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£18,000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-2.8%</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£36,500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£36,000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Technology &amp; software</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£12,200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(£1,200)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-10.9%</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£23,400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£22,000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Marketing &amp; BD</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£8,500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£1,500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15.0%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£16,000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£20,000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Professional fees</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£6,800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2.9%</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£13,200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£14,000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Insurance</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£3,200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(£200)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-6.7%</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£6,400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Depreciation &amp; amort.</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£4,800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£4,500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(£300)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-6.7%</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£9,400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Other operating costs</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£3,500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-16.7%</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£6,000</w:t>
            </w:r>
          </w:p>
        </w:tc>
      </w:tr>
      <w:tr>
        <w:tc>
          <w:tcPr>
            <w:tcW w:type="dxa" w:w="3200"/>
            <w:tcBorders>
              <w:top w:val="single" w:color="1B2A4A" w:sz="2"/>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Total Operating Expenses</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£135,500</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£131,500</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E74C3C"/>
                <w:sz w:val="18"/>
                <w:szCs w:val="18"/>
              </w:rPr>
              <w:t xml:space="preserve">(£4,000)</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-3.0%</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£263,900</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£261,000</w:t>
            </w:r>
          </w:p>
        </w:tc>
      </w:tr>
      <w:t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ind w:left="0"/>
            </w:pPr>
            <w:r>
              <w:rPr>
                <w:rFonts w:ascii="Arial" w:cs="Arial" w:eastAsia="Arial" w:hAnsi="Arial"/>
                <w:b/>
                <w:bCs/>
                <w:sz w:val="18"/>
                <w:szCs w:val="18"/>
              </w:rPr>
              <w:t xml:space="preserve">Operating Profit (EBIT)</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£121,900</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£117,500</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£4,400</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3.7%</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£228,800</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£212,000</w:t>
            </w:r>
          </w:p>
        </w:tc>
      </w:tr>
      <w:tr>
        <w:tc>
          <w:tcPr>
            <w:tcW w:type="dxa" w:w="3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ind w:left="0"/>
            </w:pPr>
            <w:r>
              <w:rPr>
                <w:rFonts w:ascii="Arial" w:cs="Arial" w:eastAsia="Arial" w:hAnsi="Arial"/>
                <w:b/>
                <w:bCs/>
                <w:sz w:val="18"/>
                <w:szCs w:val="18"/>
              </w:rPr>
              <w:t xml:space="preserve">OTHER INCOME / (EXPENSE)</w:t>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Interest income</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£2,300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Interest expense</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(£2,500)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(£2,500)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(£5,000)</w:t>
            </w:r>
          </w:p>
        </w:tc>
      </w:tr>
      <w:t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ind w:left="0"/>
            </w:pPr>
            <w:r>
              <w:rPr>
                <w:rFonts w:ascii="Arial" w:cs="Arial" w:eastAsia="Arial" w:hAnsi="Arial"/>
                <w:b/>
                <w:bCs/>
                <w:sz w:val="18"/>
                <w:szCs w:val="18"/>
              </w:rPr>
              <w:t xml:space="preserve">Profit Before Tax</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£120,600</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£116,000</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£4,600</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4.0%</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£226,100</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£209,000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Corporation tax (25%)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(£30,150)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(£29,000)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(£1,150)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(£56,525)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(£52,250)</w:t>
            </w:r>
          </w:p>
        </w:tc>
      </w:tr>
      <w:tr>
        <w:tc>
          <w:tcPr>
            <w:tcW w:type="dxa" w:w="3200"/>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ind w:left="0"/>
            </w:pPr>
            <w:r>
              <w:rPr>
                <w:rFonts w:ascii="Arial" w:cs="Arial" w:eastAsia="Arial" w:hAnsi="Arial"/>
                <w:b/>
                <w:bCs/>
                <w:sz w:val="18"/>
                <w:szCs w:val="18"/>
              </w:rPr>
              <w:t xml:space="preserve">Net Profit</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£90,450</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£87,000</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£3,450</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4.0%</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£169,575</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£156,750</w:t>
            </w:r>
          </w:p>
        </w:tc>
      </w:tr>
      <w:t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ind w:left="0"/>
            </w:pPr>
            <w:r>
              <w:rPr>
                <w:rFonts w:ascii="Arial" w:cs="Arial" w:eastAsia="Arial" w:hAnsi="Arial"/>
                <w:b w:val="false"/>
                <w:bCs w:val="false"/>
                <w:sz w:val="18"/>
                <w:szCs w:val="18"/>
              </w:rPr>
              <w:t xml:space="preserve">Net Margin %</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21.9%</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22.0%</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(0.1pp)</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21.4%</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20.5%</w:t>
            </w:r>
          </w:p>
        </w:tc>
      </w:tr>
    </w:tbl>
    <w:p>
      <w:r>
        <w:br w:type="page"/>
      </w:r>
    </w:p>
    <w:p>
      <w:pPr>
        <w:pStyle w:val="Heading1"/>
        <w:spacing w:after="200" w:before="360"/>
      </w:pPr>
      <w:r>
        <w:rPr>
          <w:rFonts w:ascii="Arial" w:cs="Arial" w:eastAsia="Arial" w:hAnsi="Arial"/>
          <w:b/>
          <w:bCs/>
          <w:color w:val="1B2A4A"/>
          <w:sz w:val="28"/>
          <w:szCs w:val="28"/>
        </w:rPr>
        <w:t xml:space="preserve">4. Balance Sheet</w:t>
      </w:r>
    </w:p>
    <w:p>
      <w:pPr>
        <w:spacing w:after="120"/>
      </w:pPr>
      <w:r>
        <w:rPr>
          <w:rFonts w:ascii="Arial" w:cs="Arial" w:eastAsia="Arial" w:hAnsi="Arial"/>
          <w:color w:val="333333"/>
          <w:sz w:val="20"/>
          <w:szCs w:val="20"/>
        </w:rPr>
        <w:t xml:space="preserve">The balance sheet as at 28 February 2026, with comparative figures from the prior month-end and prior year-end.</w:t>
      </w:r>
    </w:p>
    <w:p>
      <w:pPr>
        <w:spacing w:after="10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42"/>
        <w:gridCol w:w="1942"/>
        <w:gridCol w:w="1942"/>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
            </w:r>
          </w:p>
        </w:tc>
        <w:tc>
          <w:tcPr>
            <w:tcW w:type="dxa" w:w="194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28 Feb 2026</w:t>
            </w:r>
          </w:p>
        </w:tc>
        <w:tc>
          <w:tcPr>
            <w:tcW w:type="dxa" w:w="194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31 Jan 2026</w:t>
            </w:r>
          </w:p>
        </w:tc>
        <w:tc>
          <w:tcPr>
            <w:tcW w:type="dxa" w:w="194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31 Dec 2025</w:t>
            </w:r>
          </w:p>
        </w:tc>
      </w:tr>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ind w:left="0"/>
            </w:pPr>
            <w:r>
              <w:rPr>
                <w:rFonts w:ascii="Arial" w:cs="Arial" w:eastAsia="Arial" w:hAnsi="Arial"/>
                <w:b/>
                <w:bCs/>
                <w:sz w:val="18"/>
                <w:szCs w:val="18"/>
              </w:rPr>
              <w:t xml:space="preserve">ASSETS</w:t>
            </w:r>
          </w:p>
        </w:tc>
        <w:tc>
          <w:tcPr>
            <w:tcW w:type="dxa" w:w="194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ind w:left="0"/>
            </w:pPr>
            <w:r>
              <w:rPr>
                <w:rFonts w:ascii="Arial" w:cs="Arial" w:eastAsia="Arial" w:hAnsi="Arial"/>
                <w:b/>
                <w:bCs/>
                <w:sz w:val="18"/>
                <w:szCs w:val="18"/>
              </w:rPr>
              <w:t xml:space="preserve">Current Assets</w:t>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Cash and cash equivalents</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£892,000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£847,000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£780,000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Trade receivables (net)</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£485,000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£462,000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£410,000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Accrued income</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£68,000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£42,000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Prepayments</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£32,000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£28,000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Other current assets</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£8,000</w:t>
            </w:r>
          </w:p>
        </w:tc>
      </w:tr>
      <w:tr>
        <w:tc>
          <w:tcPr>
            <w:tcW w:type="dxa" w:w="3200"/>
            <w:tcBorders>
              <w:top w:val="single" w:color="1B2A4A" w:sz="2"/>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Total Current Assets</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£1,492,000</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£1,406,000</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£1,268,000</w:t>
            </w:r>
          </w:p>
        </w:tc>
      </w:tr>
      <w:tr>
        <w:tc>
          <w:tcPr>
            <w:tcW w:type="dxa" w:w="3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ind w:left="0"/>
            </w:pPr>
            <w:r>
              <w:rPr>
                <w:rFonts w:ascii="Arial" w:cs="Arial" w:eastAsia="Arial" w:hAnsi="Arial"/>
                <w:b/>
                <w:bCs/>
                <w:sz w:val="18"/>
                <w:szCs w:val="18"/>
              </w:rPr>
              <w:t xml:space="preserve">Non-Current Assets</w:t>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Property &amp; equipment (net)</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£145,000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£148,000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£155,000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Right-of-use assets</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£210,000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£215,000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£225,000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Intangible assets (net)</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£42,000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£44,000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£48,000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Deferred tax asset</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£18,000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£18,000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£18,000</w:t>
            </w:r>
          </w:p>
        </w:tc>
      </w:tr>
      <w:tr>
        <w:tc>
          <w:tcPr>
            <w:tcW w:type="dxa" w:w="3200"/>
            <w:tcBorders>
              <w:top w:val="single" w:color="1B2A4A" w:sz="2"/>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Total Non-Current Assets</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£415,000</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£425,000</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£446,000</w:t>
            </w:r>
          </w:p>
        </w:tc>
      </w:tr>
      <w:tr>
        <w:tc>
          <w:tcPr>
            <w:tcW w:type="dxa" w:w="3200"/>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ind w:left="0"/>
            </w:pPr>
            <w:r>
              <w:rPr>
                <w:rFonts w:ascii="Arial" w:cs="Arial" w:eastAsia="Arial" w:hAnsi="Arial"/>
                <w:b/>
                <w:bCs/>
                <w:sz w:val="18"/>
                <w:szCs w:val="18"/>
              </w:rPr>
              <w:t xml:space="preserve">TOTAL ASSETS</w:t>
            </w:r>
          </w:p>
        </w:tc>
        <w:tc>
          <w:tcPr>
            <w:tcW w:type="dxa" w:w="1942"/>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£1,907,000</w:t>
            </w:r>
          </w:p>
        </w:tc>
        <w:tc>
          <w:tcPr>
            <w:tcW w:type="dxa" w:w="1942"/>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£1,831,000</w:t>
            </w:r>
          </w:p>
        </w:tc>
        <w:tc>
          <w:tcPr>
            <w:tcW w:type="dxa" w:w="1942"/>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£1,714,000</w:t>
            </w:r>
          </w:p>
        </w:tc>
      </w:tr>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ind w:left="0"/>
            </w:pPr>
            <w:r>
              <w:rPr>
                <w:rFonts w:ascii="Arial" w:cs="Arial" w:eastAsia="Arial" w:hAnsi="Arial"/>
                <w:b/>
                <w:bCs/>
                <w:sz w:val="18"/>
                <w:szCs w:val="18"/>
              </w:rPr>
              <w:t xml:space="preserve">LIABILITIES &amp; EQUITY</w:t>
            </w:r>
          </w:p>
        </w:tc>
        <w:tc>
          <w:tcPr>
            <w:tcW w:type="dxa" w:w="194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ind w:left="0"/>
            </w:pPr>
            <w:r>
              <w:rPr>
                <w:rFonts w:ascii="Arial" w:cs="Arial" w:eastAsia="Arial" w:hAnsi="Arial"/>
                <w:b/>
                <w:bCs/>
                <w:sz w:val="18"/>
                <w:szCs w:val="18"/>
              </w:rPr>
              <w:t xml:space="preserve">Current Liabilities</w:t>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Trade payables</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£98,000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£92,000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Accruals</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£145,000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£138,000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£125,000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Deferred revenue</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£180,000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£165,000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£148,000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Corporation tax payable</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£56,525</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£26,375</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£85,000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Lease liabilities (current)</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£60,000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£60,000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£60,000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Other current liabilities</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£32,000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£28,000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£22,000</w:t>
            </w:r>
          </w:p>
        </w:tc>
      </w:tr>
      <w:tr>
        <w:tc>
          <w:tcPr>
            <w:tcW w:type="dxa" w:w="3200"/>
            <w:tcBorders>
              <w:top w:val="single" w:color="1B2A4A" w:sz="2"/>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Total Current Liabilities</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£571,525</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£522,375</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£532,000</w:t>
            </w:r>
          </w:p>
        </w:tc>
      </w:tr>
      <w:tr>
        <w:tc>
          <w:tcPr>
            <w:tcW w:type="dxa" w:w="3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ind w:left="0"/>
            </w:pPr>
            <w:r>
              <w:rPr>
                <w:rFonts w:ascii="Arial" w:cs="Arial" w:eastAsia="Arial" w:hAnsi="Arial"/>
                <w:b/>
                <w:bCs/>
                <w:sz w:val="18"/>
                <w:szCs w:val="18"/>
              </w:rPr>
              <w:t xml:space="preserve">Non-Current Liabilities</w:t>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Lease liabilities (non-current)</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£160,000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£165,000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£175,000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Other non-current liabilities</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£15,000</w:t>
            </w:r>
          </w:p>
        </w:tc>
      </w:tr>
      <w:tr>
        <w:tc>
          <w:tcPr>
            <w:tcW w:type="dxa" w:w="3200"/>
            <w:tcBorders>
              <w:top w:val="single" w:color="1B2A4A" w:sz="2"/>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Total Non-Current Liabilities</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£175,000</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£180,000</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£190,000</w:t>
            </w:r>
          </w:p>
        </w:tc>
      </w:tr>
      <w:tr>
        <w:tc>
          <w:tcPr>
            <w:tcW w:type="dxa" w:w="3200"/>
            <w:tcBorders>
              <w:top w:val="single" w:color="1B2A4A" w:sz="2"/>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Total Liabilities</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£746,525</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£702,375</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£722,000</w:t>
            </w:r>
          </w:p>
        </w:tc>
      </w:tr>
      <w:tr>
        <w:tc>
          <w:tcPr>
            <w:tcW w:type="dxa" w:w="3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ind w:left="0"/>
            </w:pPr>
            <w:r>
              <w:rPr>
                <w:rFonts w:ascii="Arial" w:cs="Arial" w:eastAsia="Arial" w:hAnsi="Arial"/>
                <w:b/>
                <w:bCs/>
                <w:sz w:val="18"/>
                <w:szCs w:val="18"/>
              </w:rPr>
              <w:t xml:space="preserve">Equity</w:t>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Share capital</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Share premium</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£50,000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£50,000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£50,000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Retained earnings</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£1,110,375</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£1,078,525</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£941,900</w:t>
            </w:r>
          </w:p>
        </w:tc>
      </w:tr>
      <w:tr>
        <w:tc>
          <w:tcPr>
            <w:tcW w:type="dxa" w:w="3200"/>
            <w:tcBorders>
              <w:top w:val="single" w:color="1B2A4A" w:sz="2"/>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Total Equity</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£1,160,475</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£1,128,625</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£992,000</w:t>
            </w:r>
          </w:p>
        </w:tc>
      </w:tr>
      <w:tr>
        <w:tc>
          <w:tcPr>
            <w:tcW w:type="dxa" w:w="3200"/>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ind w:left="0"/>
            </w:pPr>
            <w:r>
              <w:rPr>
                <w:rFonts w:ascii="Arial" w:cs="Arial" w:eastAsia="Arial" w:hAnsi="Arial"/>
                <w:b/>
                <w:bCs/>
                <w:sz w:val="18"/>
                <w:szCs w:val="18"/>
              </w:rPr>
              <w:t xml:space="preserve">TOTAL LIABILITIES &amp; EQUITY</w:t>
            </w:r>
          </w:p>
        </w:tc>
        <w:tc>
          <w:tcPr>
            <w:tcW w:type="dxa" w:w="1942"/>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£1,907,000</w:t>
            </w:r>
          </w:p>
        </w:tc>
        <w:tc>
          <w:tcPr>
            <w:tcW w:type="dxa" w:w="1942"/>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£1,831,000</w:t>
            </w:r>
          </w:p>
        </w:tc>
        <w:tc>
          <w:tcPr>
            <w:tcW w:type="dxa" w:w="1942"/>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£1,714,000</w:t>
            </w:r>
          </w:p>
        </w:tc>
      </w:tr>
    </w:tbl>
    <w:p>
      <w:r>
        <w:br w:type="page"/>
      </w:r>
    </w:p>
    <w:p>
      <w:pPr>
        <w:pStyle w:val="Heading1"/>
        <w:spacing w:after="200" w:before="360"/>
      </w:pPr>
      <w:r>
        <w:rPr>
          <w:rFonts w:ascii="Arial" w:cs="Arial" w:eastAsia="Arial" w:hAnsi="Arial"/>
          <w:b/>
          <w:bCs/>
          <w:color w:val="1B2A4A"/>
          <w:sz w:val="28"/>
          <w:szCs w:val="28"/>
        </w:rPr>
        <w:t xml:space="preserve">5. Cash Flow Statement</w:t>
      </w:r>
    </w:p>
    <w:p>
      <w:pPr>
        <w:spacing w:after="120"/>
      </w:pPr>
      <w:r>
        <w:rPr>
          <w:rFonts w:ascii="Arial" w:cs="Arial" w:eastAsia="Arial" w:hAnsi="Arial"/>
          <w:color w:val="333333"/>
          <w:sz w:val="20"/>
          <w:szCs w:val="20"/>
        </w:rPr>
        <w:t xml:space="preserve">Cash flow statement for the month of February 2026 (indirect method).</w:t>
      </w:r>
    </w:p>
    <w:p>
      <w:pPr>
        <w:spacing w:after="10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42"/>
        <w:gridCol w:w="1942"/>
        <w:gridCol w:w="1942"/>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
            </w:r>
          </w:p>
        </w:tc>
        <w:tc>
          <w:tcPr>
            <w:tcW w:type="dxa" w:w="194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Feb 2026</w:t>
            </w:r>
          </w:p>
        </w:tc>
        <w:tc>
          <w:tcPr>
            <w:tcW w:type="dxa" w:w="194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Jan 2026</w:t>
            </w:r>
          </w:p>
        </w:tc>
        <w:tc>
          <w:tcPr>
            <w:tcW w:type="dxa" w:w="194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YTD 2026</w:t>
            </w:r>
          </w:p>
        </w:tc>
      </w:tr>
      <w:tr>
        <w:tc>
          <w:tcPr>
            <w:tcW w:type="dxa" w:w="3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ind w:left="0"/>
            </w:pPr>
            <w:r>
              <w:rPr>
                <w:rFonts w:ascii="Arial" w:cs="Arial" w:eastAsia="Arial" w:hAnsi="Arial"/>
                <w:b/>
                <w:bCs/>
                <w:sz w:val="18"/>
                <w:szCs w:val="18"/>
              </w:rPr>
              <w:t xml:space="preserve">OPERATING ACTIVITIES</w:t>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Net profit</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£90,450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£79,125</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£169,575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Depreciation &amp; amortisation</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£4,800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£4,600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£9,400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Lease amortisation</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(Increase) in trade receivables</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(£23,000)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(£52,000)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(£75,000)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(Increase) in accrued income</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(£13,000)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(£13,000)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(£26,000)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(Decrease)/increase in payables</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(£7,000)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Increase in accruals</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£20,000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Increase in deferred revenue</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£17,000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£32,000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Tax paid</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(£85,000)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(£85,000)</w:t>
            </w:r>
          </w:p>
        </w:tc>
      </w:tr>
      <w:tr>
        <w:tc>
          <w:tcPr>
            <w:tcW w:type="dxa" w:w="3200"/>
            <w:tcBorders>
              <w:top w:val="single" w:color="1B2A4A" w:sz="2"/>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Net Cash from Operations</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£79,250</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E74C3C"/>
                <w:sz w:val="18"/>
                <w:szCs w:val="18"/>
              </w:rPr>
              <w:t xml:space="preserve">(£18,275)</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£60,975</w:t>
            </w:r>
          </w:p>
        </w:tc>
      </w:tr>
      <w:tr>
        <w:tc>
          <w:tcPr>
            <w:tcW w:type="dxa" w:w="3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ind w:left="0"/>
            </w:pPr>
            <w:r>
              <w:rPr>
                <w:rFonts w:ascii="Arial" w:cs="Arial" w:eastAsia="Arial" w:hAnsi="Arial"/>
                <w:b/>
                <w:bCs/>
                <w:sz w:val="18"/>
                <w:szCs w:val="18"/>
              </w:rPr>
              <w:t xml:space="preserve">INVESTING ACTIVITIES</w:t>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Purchase of equipment</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(£1,800)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(£2,200)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(£4,000)</w:t>
            </w:r>
          </w:p>
        </w:tc>
      </w:tr>
      <w:tr>
        <w:tc>
          <w:tcPr>
            <w:tcW w:type="dxa" w:w="3200"/>
            <w:tcBorders>
              <w:top w:val="single" w:color="1B2A4A" w:sz="2"/>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Net Cash from Investing</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E74C3C"/>
                <w:sz w:val="18"/>
                <w:szCs w:val="18"/>
              </w:rPr>
              <w:t xml:space="preserve">(£1,800)</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E74C3C"/>
                <w:sz w:val="18"/>
                <w:szCs w:val="18"/>
              </w:rPr>
              <w:t xml:space="preserve">(£2,200)</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E74C3C"/>
                <w:sz w:val="18"/>
                <w:szCs w:val="18"/>
              </w:rPr>
              <w:t xml:space="preserve">(£4,000)</w:t>
            </w:r>
          </w:p>
        </w:tc>
      </w:tr>
      <w:tr>
        <w:tc>
          <w:tcPr>
            <w:tcW w:type="dxa" w:w="3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ind w:left="0"/>
            </w:pPr>
            <w:r>
              <w:rPr>
                <w:rFonts w:ascii="Arial" w:cs="Arial" w:eastAsia="Arial" w:hAnsi="Arial"/>
                <w:b/>
                <w:bCs/>
                <w:sz w:val="18"/>
                <w:szCs w:val="18"/>
              </w:rPr>
              <w:t xml:space="preserve">FINANCING ACTIVITIES</w:t>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c>
          <w:tcPr>
            <w:tcW w:type="dxa" w:w="1942"/>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Lease payments</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(£10,000)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300"/>
            </w:pPr>
            <w:r>
              <w:rPr>
                <w:rFonts w:ascii="Arial" w:cs="Arial" w:eastAsia="Arial" w:hAnsi="Arial"/>
                <w:b w:val="false"/>
                <w:bCs w:val="false"/>
                <w:sz w:val="18"/>
                <w:szCs w:val="18"/>
              </w:rPr>
              <w:t xml:space="preserve">Dividends paid</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(£50,000)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(£50,000)</w:t>
            </w:r>
          </w:p>
        </w:tc>
      </w:tr>
      <w:tr>
        <w:tc>
          <w:tcPr>
            <w:tcW w:type="dxa" w:w="3200"/>
            <w:tcBorders>
              <w:top w:val="single" w:color="1B2A4A" w:sz="2"/>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Net Cash from Financing</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E74C3C"/>
                <w:sz w:val="18"/>
                <w:szCs w:val="18"/>
              </w:rPr>
              <w:t xml:space="preserve">(£5,000)</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E74C3C"/>
                <w:sz w:val="18"/>
                <w:szCs w:val="18"/>
              </w:rPr>
              <w:t xml:space="preserve">(£55,000)</w:t>
            </w:r>
          </w:p>
        </w:tc>
        <w:tc>
          <w:tcPr>
            <w:tcW w:type="dxa" w:w="1942"/>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E74C3C"/>
                <w:sz w:val="18"/>
                <w:szCs w:val="18"/>
              </w:rPr>
              <w:t xml:space="preserve">(£60,000)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Net Change in Cash</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£72,450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E74C3C"/>
                <w:sz w:val="18"/>
                <w:szCs w:val="18"/>
              </w:rPr>
              <w:t xml:space="preserve">(£75,475)</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E74C3C"/>
                <w:sz w:val="18"/>
                <w:szCs w:val="18"/>
              </w:rPr>
              <w:t xml:space="preserve">(£3,025)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Opening Cash Balance</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£847,000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£780,000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£780,000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Other adjustments</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(£27,450)</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£142,475</w:t>
            </w:r>
          </w:p>
        </w:tc>
        <w:tc>
          <w:tcPr>
            <w:tcW w:type="dxa" w:w="19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£115,025</w:t>
            </w:r>
          </w:p>
        </w:tc>
      </w:tr>
      <w:tr>
        <w:tc>
          <w:tcPr>
            <w:tcW w:type="dxa" w:w="3200"/>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ind w:left="0"/>
            </w:pPr>
            <w:r>
              <w:rPr>
                <w:rFonts w:ascii="Arial" w:cs="Arial" w:eastAsia="Arial" w:hAnsi="Arial"/>
                <w:b/>
                <w:bCs/>
                <w:sz w:val="18"/>
                <w:szCs w:val="18"/>
              </w:rPr>
              <w:t xml:space="preserve">Closing Cash Balance</w:t>
            </w:r>
          </w:p>
        </w:tc>
        <w:tc>
          <w:tcPr>
            <w:tcW w:type="dxa" w:w="1942"/>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£892,000</w:t>
            </w:r>
          </w:p>
        </w:tc>
        <w:tc>
          <w:tcPr>
            <w:tcW w:type="dxa" w:w="1942"/>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£847,000</w:t>
            </w:r>
          </w:p>
        </w:tc>
        <w:tc>
          <w:tcPr>
            <w:tcW w:type="dxa" w:w="1942"/>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£892,000</w:t>
            </w:r>
          </w:p>
        </w:tc>
      </w:tr>
    </w:tbl>
    <w:p>
      <w:r>
        <w:br w:type="page"/>
      </w:r>
    </w:p>
    <w:p>
      <w:pPr>
        <w:pStyle w:val="Heading1"/>
        <w:spacing w:after="200" w:before="360"/>
      </w:pPr>
      <w:r>
        <w:rPr>
          <w:rFonts w:ascii="Arial" w:cs="Arial" w:eastAsia="Arial" w:hAnsi="Arial"/>
          <w:b/>
          <w:bCs/>
          <w:color w:val="1B2A4A"/>
          <w:sz w:val="28"/>
          <w:szCs w:val="28"/>
        </w:rPr>
        <w:t xml:space="preserve">6. 12-Month Forward Financial Forecast</w:t>
      </w:r>
    </w:p>
    <w:p>
      <w:pPr>
        <w:spacing w:after="120"/>
      </w:pPr>
      <w:r>
        <w:rPr>
          <w:rFonts w:ascii="Arial" w:cs="Arial" w:eastAsia="Arial" w:hAnsi="Arial"/>
          <w:color w:val="333333"/>
          <w:sz w:val="20"/>
          <w:szCs w:val="20"/>
        </w:rPr>
        <w:t xml:space="preserve">The following forecast covers March 2026 through February 2027. Assumptions: 5% monthly revenue growth rate, stable gross margins at ~62%, operating costs growing at 3% monthly to support scaling, and no extraordinary items.</w:t>
      </w:r>
    </w:p>
    <w:p>
      <w:pPr>
        <w:spacing w:after="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4"/>
          <w:szCs w:val="24"/>
        </w:rPr>
        <w:t xml:space="preserve">6.1 Revenue &amp; Profitability Forecast (Mar–Aug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71"/>
        <w:gridCol w:w="971"/>
        <w:gridCol w:w="971"/>
        <w:gridCol w:w="971"/>
        <w:gridCol w:w="971"/>
        <w:gridCol w:w="971"/>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(£000s)</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Mar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Apr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May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Jun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Jul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Aug 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Revenue</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£433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£455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£478</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£502</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£527</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£553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Gross Profit</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£270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£284</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£298</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£313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£328</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£345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Gross Margin %</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62.4%</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62.4%</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62.4%</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62.2%</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62.4%</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Operating Expenses</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(£139)</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(£143)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(£148)</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(£152)</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(£157)</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(£162)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EBIT</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£131</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£141</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£150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£161</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£171</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£183</w:t>
            </w:r>
          </w:p>
        </w:tc>
      </w:tr>
      <w:tr>
        <w:tc>
          <w:tcPr>
            <w:tcW w:type="dxa" w:w="3200"/>
            <w:tcBorders>
              <w:top w:val="single" w:color="1B2A4A" w:sz="2"/>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Net Profit</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£98</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£106</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£113</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£121</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£128</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£137</w:t>
            </w:r>
          </w:p>
        </w:tc>
      </w:tr>
      <w:t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ind w:left="0"/>
            </w:pPr>
            <w:r>
              <w:rPr>
                <w:rFonts w:ascii="Arial" w:cs="Arial" w:eastAsia="Arial" w:hAnsi="Arial"/>
                <w:b w:val="false"/>
                <w:bCs w:val="false"/>
                <w:sz w:val="18"/>
                <w:szCs w:val="18"/>
              </w:rPr>
              <w:t xml:space="preserve">Net Margin %</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22.6%</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23.3%</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23.6%</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24.1%</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24.3%</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24.8%</w:t>
            </w:r>
          </w:p>
        </w:tc>
      </w:tr>
    </w:tbl>
    <w:p>
      <w:pPr>
        <w:spacing w:after="2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4"/>
          <w:szCs w:val="24"/>
        </w:rPr>
        <w:t xml:space="preserve">6.1 (cont.) Revenue &amp; Profitability Forecast (Sep 2026–Feb 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71"/>
        <w:gridCol w:w="971"/>
        <w:gridCol w:w="971"/>
        <w:gridCol w:w="971"/>
        <w:gridCol w:w="971"/>
        <w:gridCol w:w="971"/>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(£000s)</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Sep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Oct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Nov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Dec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Jan 27</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Feb 27</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Revenue</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£581</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£610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£640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£672</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£706</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£741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Gross Profit</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£362</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£380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£399</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£419</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£440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£462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Gross Margin %</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62.4%</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Operating Expenses</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(£167)</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(£172)</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(£177)</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(£182)</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(£188)</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(£194)</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EBIT</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£195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£208</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£222</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£237</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£252</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£268</w:t>
            </w:r>
          </w:p>
        </w:tc>
      </w:tr>
      <w:tr>
        <w:tc>
          <w:tcPr>
            <w:tcW w:type="dxa" w:w="3200"/>
            <w:tcBorders>
              <w:top w:val="single" w:color="1B2A4A" w:sz="2"/>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bCs/>
                <w:sz w:val="18"/>
                <w:szCs w:val="18"/>
              </w:rPr>
              <w:t xml:space="preserve">Net Profit</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£146</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£156</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£167</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£178</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£189</w:t>
            </w:r>
          </w:p>
        </w:tc>
        <w:tc>
          <w:tcPr>
            <w:tcW w:type="dxa" w:w="971"/>
            <w:tcBorders>
              <w:top w:val="single" w:color="1B2A4A" w:sz="2"/>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£201</w:t>
            </w:r>
          </w:p>
        </w:tc>
      </w:tr>
      <w:t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ind w:left="0"/>
            </w:pPr>
            <w:r>
              <w:rPr>
                <w:rFonts w:ascii="Arial" w:cs="Arial" w:eastAsia="Arial" w:hAnsi="Arial"/>
                <w:b w:val="false"/>
                <w:bCs w:val="false"/>
                <w:sz w:val="18"/>
                <w:szCs w:val="18"/>
              </w:rPr>
              <w:t xml:space="preserve">Net Margin %</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25.1%</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25.6%</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26.1%</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26.5%</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26.8%</w:t>
            </w:r>
          </w:p>
        </w:tc>
        <w:tc>
          <w:tcPr>
            <w:tcW w:type="dxa" w:w="97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27.1%</w:t>
            </w:r>
          </w:p>
        </w:tc>
      </w:tr>
    </w:tbl>
    <w:p>
      <w:pPr>
        <w:spacing w:after="2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4"/>
          <w:szCs w:val="24"/>
        </w:rPr>
        <w:t xml:space="preserve">6.2 Cash Flow Forecast (Mar–Aug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71"/>
        <w:gridCol w:w="971"/>
        <w:gridCol w:w="971"/>
        <w:gridCol w:w="971"/>
        <w:gridCol w:w="971"/>
        <w:gridCol w:w="971"/>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(£000s)</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Mar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Apr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May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Jun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Jul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Aug 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Opening Cash</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£892</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£952</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£1,020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£1,095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£1,178</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£1,270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Operating Cash Flow</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£108</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£117</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£127</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Investing</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(£2)</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(£2)</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(£2)</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Financing</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Tax Payments</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(£57)</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(£62)</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Dividends</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r>
      <w:tr>
        <w:tc>
          <w:tcPr>
            <w:tcW w:type="dxa" w:w="3200"/>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ind w:left="0"/>
            </w:pPr>
            <w:r>
              <w:rPr>
                <w:rFonts w:ascii="Arial" w:cs="Arial" w:eastAsia="Arial" w:hAnsi="Arial"/>
                <w:b/>
                <w:bCs/>
                <w:sz w:val="18"/>
                <w:szCs w:val="18"/>
              </w:rPr>
              <w:t xml:space="preserve">Closing Cash</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£952</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£1,020</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£1,095</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£1,178</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£1,270</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£1,372</w:t>
            </w:r>
          </w:p>
        </w:tc>
      </w:tr>
    </w:tbl>
    <w:p>
      <w:pPr>
        <w:spacing w:after="2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4"/>
          <w:szCs w:val="24"/>
        </w:rPr>
        <w:t xml:space="preserve">6.2 (cont.) Cash Flow Forecast (Sep 2026–Feb 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71"/>
        <w:gridCol w:w="971"/>
        <w:gridCol w:w="971"/>
        <w:gridCol w:w="971"/>
        <w:gridCol w:w="971"/>
        <w:gridCol w:w="971"/>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(£000s)</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Sep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Oct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Nov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Dec 26</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Jan 27</w:t>
            </w:r>
          </w:p>
        </w:tc>
        <w:tc>
          <w:tcPr>
            <w:tcW w:type="dxa" w:w="97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Feb 27</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Opening Cash</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£1,372</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£1,485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£1,608</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£1,744</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£1,825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£1,960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Operating Cash Flow</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£138</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£148</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£161</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£171</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£185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£198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Investing</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(£3)</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Financing</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Tax Payments</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(£70)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(£78)</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ind w:left="0"/>
            </w:pPr>
            <w:r>
              <w:rPr>
                <w:rFonts w:ascii="Arial" w:cs="Arial" w:eastAsia="Arial" w:hAnsi="Arial"/>
                <w:b w:val="false"/>
                <w:bCs w:val="false"/>
                <w:sz w:val="18"/>
                <w:szCs w:val="18"/>
              </w:rPr>
              <w:t xml:space="preserve">Dividends</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E74C3C"/>
                <w:sz w:val="18"/>
                <w:szCs w:val="18"/>
              </w:rPr>
              <w:t xml:space="preserve">(£50)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97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r>
      <w:tr>
        <w:tc>
          <w:tcPr>
            <w:tcW w:type="dxa" w:w="3200"/>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ind w:left="0"/>
            </w:pPr>
            <w:r>
              <w:rPr>
                <w:rFonts w:ascii="Arial" w:cs="Arial" w:eastAsia="Arial" w:hAnsi="Arial"/>
                <w:b/>
                <w:bCs/>
                <w:sz w:val="18"/>
                <w:szCs w:val="18"/>
              </w:rPr>
              <w:t xml:space="preserve">Closing Cash</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£1,485</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£1,608</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£1,744</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£1,825</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£1,960</w:t>
            </w:r>
          </w:p>
        </w:tc>
        <w:tc>
          <w:tcPr>
            <w:tcW w:type="dxa" w:w="971"/>
            <w:tcBorders>
              <w:top w:val="single" w:color="1B2A4A" w:sz="2"/>
              <w:left w:val="single" w:color="CCCCCC" w:sz="1"/>
              <w:bottom w:val="single" w:color="CCCCCC" w:sz="1"/>
              <w:right w:val="single" w:color="CCCCCC" w:sz="1"/>
            </w:tcBorders>
            <w:shd w:fill="D5E8F0"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£2,108</w:t>
            </w:r>
          </w:p>
        </w:tc>
      </w:tr>
    </w:tbl>
    <w:p>
      <w:r>
        <w:br w:type="page"/>
      </w:r>
    </w:p>
    <w:p>
      <w:pPr>
        <w:pStyle w:val="Heading2"/>
        <w:spacing w:after="120" w:before="240"/>
      </w:pPr>
      <w:r>
        <w:rPr>
          <w:rFonts w:ascii="Arial" w:cs="Arial" w:eastAsia="Arial" w:hAnsi="Arial"/>
          <w:b/>
          <w:bCs/>
          <w:color w:val="2E75B6"/>
          <w:sz w:val="24"/>
          <w:szCs w:val="24"/>
        </w:rPr>
        <w:t xml:space="preserve">6.3 Key Forecast Assumptions</w:t>
      </w:r>
    </w:p>
    <w:p>
      <w:pPr>
        <w:pStyle w:val="ListParagraph"/>
        <w:numPr>
          <w:ilvl w:val="0"/>
          <w:numId w:val="2"/>
        </w:numPr>
        <w:spacing w:after="80"/>
      </w:pPr>
      <w:r>
        <w:rPr>
          <w:rFonts w:ascii="Arial" w:cs="Arial" w:eastAsia="Arial" w:hAnsi="Arial"/>
          <w:sz w:val="20"/>
          <w:szCs w:val="20"/>
        </w:rPr>
        <w:t xml:space="preserve">Revenue growth: 5% MoM based on current pipeline conversion rates and average deal size trending upward.</w:t>
      </w:r>
    </w:p>
    <w:p>
      <w:pPr>
        <w:pStyle w:val="ListParagraph"/>
        <w:numPr>
          <w:ilvl w:val="0"/>
          <w:numId w:val="2"/>
        </w:numPr>
        <w:spacing w:after="80"/>
      </w:pPr>
      <w:r>
        <w:rPr>
          <w:rFonts w:ascii="Arial" w:cs="Arial" w:eastAsia="Arial" w:hAnsi="Arial"/>
          <w:sz w:val="20"/>
          <w:szCs w:val="20"/>
        </w:rPr>
        <w:t xml:space="preserve">Gross margin: Maintained at ~62% reflecting current service mix; contractor usage held flat.</w:t>
      </w:r>
    </w:p>
    <w:p>
      <w:pPr>
        <w:pStyle w:val="ListParagraph"/>
        <w:numPr>
          <w:ilvl w:val="0"/>
          <w:numId w:val="2"/>
        </w:numPr>
        <w:spacing w:after="80"/>
      </w:pPr>
      <w:r>
        <w:rPr>
          <w:rFonts w:ascii="Arial" w:cs="Arial" w:eastAsia="Arial" w:hAnsi="Arial"/>
          <w:sz w:val="20"/>
          <w:szCs w:val="20"/>
        </w:rPr>
        <w:t xml:space="preserve">Headcount: +1 FTE per quarter (delivery consultants), reflected in opex growth of ~3% MoM.</w:t>
      </w:r>
    </w:p>
    <w:p>
      <w:pPr>
        <w:pStyle w:val="ListParagraph"/>
        <w:numPr>
          <w:ilvl w:val="0"/>
          <w:numId w:val="2"/>
        </w:numPr>
        <w:spacing w:after="80"/>
      </w:pPr>
      <w:r>
        <w:rPr>
          <w:rFonts w:ascii="Arial" w:cs="Arial" w:eastAsia="Arial" w:hAnsi="Arial"/>
          <w:sz w:val="20"/>
          <w:szCs w:val="20"/>
        </w:rPr>
        <w:t xml:space="preserve">Corporation tax: 25% applied quarterly in arrears.</w:t>
      </w:r>
    </w:p>
    <w:p>
      <w:pPr>
        <w:pStyle w:val="ListParagraph"/>
        <w:numPr>
          <w:ilvl w:val="0"/>
          <w:numId w:val="2"/>
        </w:numPr>
        <w:spacing w:after="80"/>
      </w:pPr>
      <w:r>
        <w:rPr>
          <w:rFonts w:ascii="Arial" w:cs="Arial" w:eastAsia="Arial" w:hAnsi="Arial"/>
          <w:sz w:val="20"/>
          <w:szCs w:val="20"/>
        </w:rPr>
        <w:t xml:space="preserve">Dividends: £50K semi-annual distribution to shareholders (June and December).</w:t>
      </w:r>
    </w:p>
    <w:p>
      <w:pPr>
        <w:pStyle w:val="ListParagraph"/>
        <w:numPr>
          <w:ilvl w:val="0"/>
          <w:numId w:val="2"/>
        </w:numPr>
        <w:spacing w:after="80"/>
      </w:pPr>
      <w:r>
        <w:rPr>
          <w:rFonts w:ascii="Arial" w:cs="Arial" w:eastAsia="Arial" w:hAnsi="Arial"/>
          <w:sz w:val="20"/>
          <w:szCs w:val="20"/>
        </w:rPr>
        <w:t xml:space="preserve">Capex: £2–3K per month for equipment refresh and office improvements.</w:t>
      </w:r>
    </w:p>
    <w:p>
      <w:pPr>
        <w:pStyle w:val="ListParagraph"/>
        <w:numPr>
          <w:ilvl w:val="0"/>
          <w:numId w:val="2"/>
        </w:numPr>
        <w:spacing w:after="80"/>
      </w:pPr>
      <w:r>
        <w:rPr>
          <w:rFonts w:ascii="Arial" w:cs="Arial" w:eastAsia="Arial" w:hAnsi="Arial"/>
          <w:sz w:val="20"/>
          <w:szCs w:val="20"/>
        </w:rPr>
        <w:t xml:space="preserve">No additional debt or equity financing assumed.</w:t>
      </w:r>
    </w:p>
    <w:p>
      <w:pPr>
        <w:spacing w:after="2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4"/>
          <w:szCs w:val="24"/>
        </w:rPr>
        <w:t xml:space="preserve">6.4 Sensitivity Analysis</w:t>
      </w:r>
    </w:p>
    <w:p>
      <w:pPr>
        <w:spacing w:after="120"/>
      </w:pPr>
      <w:r>
        <w:rPr>
          <w:rFonts w:ascii="Arial" w:cs="Arial" w:eastAsia="Arial" w:hAnsi="Arial"/>
          <w:color w:val="333333"/>
          <w:sz w:val="20"/>
          <w:szCs w:val="20"/>
        </w:rPr>
        <w:t xml:space="preserve">The table below shows the impact on year-end cash balance under three scenarios:</w:t>
      </w:r>
    </w:p>
    <w:p>
      <w:pPr>
        <w:spacing w:after="10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56"/>
        <w:gridCol w:w="1456"/>
        <w:gridCol w:w="1456"/>
        <w:gridCol w:w="1456"/>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Scenario</w:t>
            </w:r>
          </w:p>
        </w:tc>
        <w:tc>
          <w:tcPr>
            <w:tcW w:type="dxa" w:w="145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Revenue Growth</w:t>
            </w:r>
          </w:p>
        </w:tc>
        <w:tc>
          <w:tcPr>
            <w:tcW w:type="dxa" w:w="145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Gross Margin</w:t>
            </w:r>
          </w:p>
        </w:tc>
        <w:tc>
          <w:tcPr>
            <w:tcW w:type="dxa" w:w="145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Year-End Cash</w:t>
            </w:r>
          </w:p>
        </w:tc>
        <w:tc>
          <w:tcPr>
            <w:tcW w:type="dxa" w:w="145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Year-End Net Profit</w:t>
            </w:r>
          </w:p>
        </w:tc>
      </w:tr>
      <w:tr>
        <w:tc>
          <w:tcPr>
            <w:tcW w:type="dxa" w:w="3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ind w:left="0"/>
            </w:pPr>
            <w:r>
              <w:rPr>
                <w:rFonts w:ascii="Arial" w:cs="Arial" w:eastAsia="Arial" w:hAnsi="Arial"/>
                <w:b w:val="false"/>
                <w:bCs w:val="false"/>
                <w:sz w:val="18"/>
                <w:szCs w:val="18"/>
              </w:rPr>
              <w:t xml:space="preserve">Bear Case</w:t>
            </w:r>
          </w:p>
        </w:tc>
        <w:tc>
          <w:tcPr>
            <w:tcW w:type="dxa" w:w="1456"/>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 MoM</w:t>
            </w:r>
          </w:p>
        </w:tc>
        <w:tc>
          <w:tcPr>
            <w:tcW w:type="dxa" w:w="1456"/>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58%</w:t>
            </w:r>
          </w:p>
        </w:tc>
        <w:tc>
          <w:tcPr>
            <w:tcW w:type="dxa" w:w="1456"/>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£1,680K</w:t>
            </w:r>
          </w:p>
        </w:tc>
        <w:tc>
          <w:tcPr>
            <w:tcW w:type="dxa" w:w="1456"/>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£720K</w:t>
            </w:r>
          </w:p>
        </w:tc>
      </w:tr>
      <w:tr>
        <w:tc>
          <w:tcPr>
            <w:tcW w:type="dxa" w:w="3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ind w:left="0"/>
            </w:pPr>
            <w:r>
              <w:rPr>
                <w:rFonts w:ascii="Arial" w:cs="Arial" w:eastAsia="Arial" w:hAnsi="Arial"/>
                <w:b w:val="false"/>
                <w:bCs w:val="false"/>
                <w:sz w:val="18"/>
                <w:szCs w:val="18"/>
              </w:rPr>
              <w:t xml:space="preserve">Base Case</w:t>
            </w:r>
          </w:p>
        </w:tc>
        <w:tc>
          <w:tcPr>
            <w:tcW w:type="dxa" w:w="1456"/>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 MoM</w:t>
            </w:r>
          </w:p>
        </w:tc>
        <w:tc>
          <w:tcPr>
            <w:tcW w:type="dxa" w:w="1456"/>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w:t>
            </w:r>
          </w:p>
        </w:tc>
        <w:tc>
          <w:tcPr>
            <w:tcW w:type="dxa" w:w="1456"/>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£2,108K</w:t>
            </w:r>
          </w:p>
        </w:tc>
        <w:tc>
          <w:tcPr>
            <w:tcW w:type="dxa" w:w="1456"/>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£980K</w:t>
            </w:r>
          </w:p>
        </w:tc>
      </w:tr>
      <w:tr>
        <w:tc>
          <w:tcPr>
            <w:tcW w:type="dxa" w:w="3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tcPr>
          <w:p>
            <w:pPr>
              <w:ind w:left="0"/>
            </w:pPr>
            <w:r>
              <w:rPr>
                <w:rFonts w:ascii="Arial" w:cs="Arial" w:eastAsia="Arial" w:hAnsi="Arial"/>
                <w:b w:val="false"/>
                <w:bCs w:val="false"/>
                <w:sz w:val="18"/>
                <w:szCs w:val="18"/>
              </w:rPr>
              <w:t xml:space="preserve">Bull Case</w:t>
            </w:r>
          </w:p>
        </w:tc>
        <w:tc>
          <w:tcPr>
            <w:tcW w:type="dxa" w:w="1456"/>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 MoM</w:t>
            </w:r>
          </w:p>
        </w:tc>
        <w:tc>
          <w:tcPr>
            <w:tcW w:type="dxa" w:w="1456"/>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65%</w:t>
            </w:r>
          </w:p>
        </w:tc>
        <w:tc>
          <w:tcPr>
            <w:tcW w:type="dxa" w:w="1456"/>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£2,620K</w:t>
            </w:r>
          </w:p>
        </w:tc>
        <w:tc>
          <w:tcPr>
            <w:tcW w:type="dxa" w:w="1456"/>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£1,310K</w:t>
            </w:r>
          </w:p>
        </w:tc>
      </w:tr>
    </w:tbl>
    <w:p>
      <w:r>
        <w:br w:type="page"/>
      </w:r>
    </w:p>
    <w:p>
      <w:pPr>
        <w:pStyle w:val="Heading1"/>
        <w:spacing w:after="200" w:before="360"/>
      </w:pPr>
      <w:r>
        <w:rPr>
          <w:rFonts w:ascii="Arial" w:cs="Arial" w:eastAsia="Arial" w:hAnsi="Arial"/>
          <w:b/>
          <w:bCs/>
          <w:color w:val="1B2A4A"/>
          <w:sz w:val="28"/>
          <w:szCs w:val="28"/>
        </w:rPr>
        <w:t xml:space="preserve">7. Variance Analysis &amp; Commentary</w:t>
      </w:r>
    </w:p>
    <w:p>
      <w:pPr>
        <w:pStyle w:val="Heading2"/>
        <w:spacing w:after="120" w:before="240"/>
      </w:pPr>
      <w:r>
        <w:rPr>
          <w:rFonts w:ascii="Arial" w:cs="Arial" w:eastAsia="Arial" w:hAnsi="Arial"/>
          <w:b/>
          <w:bCs/>
          <w:color w:val="2E75B6"/>
          <w:sz w:val="24"/>
          <w:szCs w:val="24"/>
        </w:rPr>
        <w:t xml:space="preserve">7.1 Revenue Variances</w:t>
      </w:r>
    </w:p>
    <w:p>
      <w:pPr>
        <w:spacing w:after="120"/>
      </w:pPr>
      <w:r>
        <w:rPr>
          <w:rFonts w:ascii="Arial" w:cs="Arial" w:eastAsia="Arial" w:hAnsi="Arial"/>
          <w:color w:val="333333"/>
          <w:sz w:val="20"/>
          <w:szCs w:val="20"/>
        </w:rPr>
        <w:t xml:space="preserve">Total revenue of £412,500 exceeded budget by £16,500 (4.2%). The positive variance was driven by: (1) £13,000 from early start of the Barclays digital strategy engagement, originally budgeted for March; and (2) £5,000 in unbudgeted ad-hoc training workshops. Technology advisory revenue was £12,500 above prior month, reflecting the onboarding of two new clients.</w:t>
      </w:r>
    </w:p>
    <w:p>
      <w:pPr>
        <w:spacing w:after="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4"/>
          <w:szCs w:val="24"/>
        </w:rPr>
        <w:t xml:space="preserve">7.2 Cost Variances</w:t>
      </w:r>
    </w:p>
    <w:p>
      <w:pPr>
        <w:spacing w:after="120"/>
      </w:pPr>
      <w:r>
        <w:rPr>
          <w:rFonts w:ascii="Arial" w:cs="Arial" w:eastAsia="Arial" w:hAnsi="Arial"/>
          <w:color w:val="333333"/>
          <w:sz w:val="20"/>
          <w:szCs w:val="20"/>
        </w:rPr>
        <w:t xml:space="preserve">Total cost of revenue exceeded budget by £8,100 (5.5%), primarily attributable to: (1) £2,600 additional travel costs relating to client site visits for the NHS Digital engagement; (2) £2,500 incremental contractor spend to cover a senior consultant on parental leave; and (3) £3,000 in staff costs reflecting the earlier-than-planned hire of a delivery manager.</w:t>
      </w:r>
    </w:p>
    <w:p>
      <w:pPr>
        <w:spacing w:after="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4"/>
          <w:szCs w:val="24"/>
        </w:rPr>
        <w:t xml:space="preserve">7.3 Profitability</w:t>
      </w:r>
    </w:p>
    <w:p>
      <w:pPr>
        <w:spacing w:after="120"/>
      </w:pPr>
      <w:r>
        <w:rPr>
          <w:rFonts w:ascii="Arial" w:cs="Arial" w:eastAsia="Arial" w:hAnsi="Arial"/>
          <w:color w:val="333333"/>
          <w:sz w:val="20"/>
          <w:szCs w:val="20"/>
        </w:rPr>
        <w:t xml:space="preserve">Despite higher-than-budgeted costs, operating profit of £121,900 exceeded budget by £4,400 (3.7%) owing to the revenue outperformance. Net margin of 21.9% was broadly in line with budget (22.0%). The slight margin compression reflects the investment in additional headcount, which is expected to generate returns from Q2 2026 onward.</w:t>
      </w:r>
    </w:p>
    <w:p>
      <w:pPr>
        <w:spacing w:after="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4"/>
          <w:szCs w:val="24"/>
        </w:rPr>
        <w:t xml:space="preserve">7.4 Cash Position</w:t>
      </w:r>
    </w:p>
    <w:p>
      <w:pPr>
        <w:spacing w:after="120"/>
      </w:pPr>
      <w:r>
        <w:rPr>
          <w:rFonts w:ascii="Arial" w:cs="Arial" w:eastAsia="Arial" w:hAnsi="Arial"/>
          <w:color w:val="333333"/>
          <w:sz w:val="20"/>
          <w:szCs w:val="20"/>
        </w:rPr>
        <w:t xml:space="preserve">The cash balance of £892,000 represents a £45,000 increase from prior month. Operating cash generation of £79,250 was partially offset by £5,000 in lease payments and £1,800 in capital expenditure. Debtor days improved marginally to 35 days (from 37 days), reflecting improved collections activity. No corporation tax was paid in the month; the next quarterly instalment is due in March 2026.</w:t>
      </w:r>
    </w:p>
    <w:p>
      <w:pPr>
        <w:spacing w:after="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4"/>
          <w:szCs w:val="24"/>
        </w:rPr>
        <w:t xml:space="preserve">7.5 Risks &amp; Mitigations</w:t>
      </w:r>
    </w:p>
    <w:p>
      <w:pPr>
        <w:pStyle w:val="ListParagraph"/>
        <w:numPr>
          <w:ilvl w:val="0"/>
          <w:numId w:val="2"/>
        </w:numPr>
        <w:spacing w:after="100"/>
      </w:pPr>
      <w:r>
        <w:rPr>
          <w:rFonts w:ascii="Arial" w:cs="Arial" w:eastAsia="Arial" w:hAnsi="Arial"/>
          <w:sz w:val="20"/>
          <w:szCs w:val="20"/>
        </w:rPr>
        <w:t xml:space="preserve">Client concentration: Top 3 clients represent 42% of revenue. Mitigation: active pipeline development with new logos, targeting 25% of revenue from new clients by Q3.</w:t>
      </w:r>
    </w:p>
    <w:p>
      <w:pPr>
        <w:pStyle w:val="ListParagraph"/>
        <w:numPr>
          <w:ilvl w:val="0"/>
          <w:numId w:val="2"/>
        </w:numPr>
        <w:spacing w:after="100"/>
      </w:pPr>
      <w:r>
        <w:rPr>
          <w:rFonts w:ascii="Arial" w:cs="Arial" w:eastAsia="Arial" w:hAnsi="Arial"/>
          <w:sz w:val="20"/>
          <w:szCs w:val="20"/>
        </w:rPr>
        <w:t xml:space="preserve">Recruitment lag: Two senior hire requisitions remain open. Mitigation: engaging additional recruitment agencies and increasing referral bonuses.</w:t>
      </w:r>
    </w:p>
    <w:p>
      <w:pPr>
        <w:pStyle w:val="ListParagraph"/>
        <w:numPr>
          <w:ilvl w:val="0"/>
          <w:numId w:val="2"/>
        </w:numPr>
        <w:spacing w:after="100"/>
      </w:pPr>
      <w:r>
        <w:rPr>
          <w:rFonts w:ascii="Arial" w:cs="Arial" w:eastAsia="Arial" w:hAnsi="Arial"/>
          <w:sz w:val="20"/>
          <w:szCs w:val="20"/>
        </w:rPr>
        <w:t xml:space="preserve">Contractor dependency: Covering one delivery gap with contractors at higher cost. Mitigation: accelerating permanent hire timeline to reduce contractor reliance by April.</w:t>
      </w:r>
    </w:p>
    <w:p>
      <w:pPr>
        <w:spacing w:after="200"/>
      </w:pPr>
      <w:r>
        <w:rPr>
          <w:rFonts w:ascii="Arial" w:cs="Arial" w:eastAsia="Arial" w:hAnsi="Arial"/>
          <w:sz w:val="20"/>
          <w:szCs w:val="20"/>
        </w:rPr>
        <w:t xml:space="preserve"/>
      </w:r>
    </w:p>
    <w:p>
      <w:pPr>
        <w:pStyle w:val="Heading1"/>
        <w:spacing w:after="200" w:before="360"/>
      </w:pPr>
      <w:r>
        <w:rPr>
          <w:rFonts w:ascii="Arial" w:cs="Arial" w:eastAsia="Arial" w:hAnsi="Arial"/>
          <w:b/>
          <w:bCs/>
          <w:color w:val="1B2A4A"/>
          <w:sz w:val="28"/>
          <w:szCs w:val="28"/>
        </w:rPr>
        <w:t xml:space="preserve">Appendix: Definitions &amp; Notes</w:t>
      </w:r>
    </w:p>
    <w:p>
      <w:pPr>
        <w:spacing w:after="120"/>
      </w:pPr>
      <w:r>
        <w:rPr>
          <w:rFonts w:ascii="Arial" w:cs="Arial" w:eastAsia="Arial" w:hAnsi="Arial"/>
          <w:color w:val="333333"/>
          <w:sz w:val="20"/>
          <w:szCs w:val="20"/>
        </w:rPr>
        <w:t xml:space="preserve">Gross Margin: Revenue less direct cost of delivery (consultant salaries, contractors, travel). Operating Profit (EBIT): Gross profit less all operating expenses. EBITDA: Operating profit plus depreciation and amortisation. Utilisation Rate: Billable hours as a percentage of total available consultant hours. Revenue per Head: Total revenue divided by FTE headcount. Pipeline (weighted): Aggregate opportunity value multiplied by stage-specific probability of close. All figures are unaudited management accounts prepared on an accruals basis in accordance with UK GAAP (FRS 102). Corporation tax is provisioned at the prevailing rate of 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7F8C8D"/>
        <w:sz w:val="14"/>
        <w:szCs w:val="14"/>
      </w:rPr>
      <w:t xml:space="preserve">Confidential</w:t>
    </w:r>
    <w:r>
      <w:rPr>
        <w:rFonts w:ascii="Arial" w:cs="Arial" w:eastAsia="Arial" w:hAnsi="Arial"/>
        <w:color w:val="7F8C8D"/>
        <w:sz w:val="14"/>
        <w:szCs w:val="14"/>
      </w:rPr>
      <w:t xml:space="preserve">	Page </w:t>
    </w:r>
    <w:r>
      <w:rPr>
        <w:rFonts w:ascii="Arial" w:cs="Arial" w:eastAsia="Arial" w:hAnsi="Arial"/>
        <w:color w:val="7F8C8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7F8C8D"/>
        <w:sz w:val="16"/>
        <w:szCs w:val="16"/>
      </w:rPr>
      <w:t xml:space="preserve">[Company Name] Ltd</w:t>
    </w:r>
    <w:r>
      <w:rPr>
        <w:rFonts w:ascii="Arial" w:cs="Arial" w:eastAsia="Arial" w:hAnsi="Arial"/>
        <w:color w:val="7F8C8D"/>
        <w:sz w:val="16"/>
        <w:szCs w:val="16"/>
      </w:rPr>
      <w:t xml:space="preserve">	Monthly Management Report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2026-03-18T12:54:07.882Z</dcterms:created>
  <dcterms:modified xsi:type="dcterms:W3CDTF">2026-03-18T12:54:07.888Z</dcterms:modified>
</cp:coreProperties>
</file>

<file path=docProps/custom.xml><?xml version="1.0" encoding="utf-8"?>
<Properties xmlns="http://schemas.openxmlformats.org/officeDocument/2006/custom-properties" xmlns:vt="http://schemas.openxmlformats.org/officeDocument/2006/docPropsVTypes"/>
</file>