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3CAD" w14:textId="789A39C1" w:rsidR="00E91A28" w:rsidRDefault="00E91A28" w:rsidP="00A85B6C">
      <w:pPr>
        <w:pStyle w:val="Heading2"/>
      </w:pPr>
      <w:r>
        <w:t xml:space="preserve">Programming Model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985"/>
        <w:gridCol w:w="2268"/>
      </w:tblGrid>
      <w:tr w:rsidR="00A85B6C" w14:paraId="7A4778A6" w14:textId="77777777" w:rsidTr="00864787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2ACFFA60" w14:textId="3734E238" w:rsidR="00A85B6C" w:rsidRDefault="00A85B6C" w:rsidP="00E91A28">
            <w:pPr>
              <w:jc w:val="center"/>
            </w:pPr>
            <w:r>
              <w:t xml:space="preserve">23        </w:t>
            </w:r>
            <w:r w:rsidR="00864787">
              <w:t xml:space="preserve">        </w:t>
            </w:r>
            <w:r>
              <w:t xml:space="preserve">     16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</w:tcPr>
          <w:p w14:paraId="07FC6F53" w14:textId="05277BD9" w:rsidR="00A85B6C" w:rsidRDefault="00A85B6C" w:rsidP="00E91A28">
            <w:pPr>
              <w:jc w:val="center"/>
            </w:pPr>
            <w:r>
              <w:t>15</w:t>
            </w:r>
            <w:r w:rsidR="00864787">
              <w:t xml:space="preserve">      </w:t>
            </w:r>
            <w:r>
              <w:t xml:space="preserve">                                                                  0</w:t>
            </w:r>
          </w:p>
        </w:tc>
      </w:tr>
      <w:tr w:rsidR="00E91A28" w14:paraId="3A02AA17" w14:textId="77777777" w:rsidTr="00864787">
        <w:tc>
          <w:tcPr>
            <w:tcW w:w="1985" w:type="dxa"/>
          </w:tcPr>
          <w:p w14:paraId="22EC6CAC" w14:textId="6B54228C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311B968" w14:textId="77777777" w:rsidR="00E91A28" w:rsidRDefault="00E91A28" w:rsidP="00B03833">
            <w:pPr>
              <w:jc w:val="center"/>
            </w:pPr>
            <w:r>
              <w:t>X – Index Register</w:t>
            </w:r>
          </w:p>
        </w:tc>
      </w:tr>
      <w:tr w:rsidR="00E91A28" w14:paraId="1CA68983" w14:textId="77777777" w:rsidTr="00864787">
        <w:tc>
          <w:tcPr>
            <w:tcW w:w="1985" w:type="dxa"/>
          </w:tcPr>
          <w:p w14:paraId="13440FFF" w14:textId="15BE48ED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352662BC" w14:textId="77777777" w:rsidR="00E91A28" w:rsidRDefault="00E91A28" w:rsidP="00B03833">
            <w:pPr>
              <w:jc w:val="center"/>
            </w:pPr>
            <w:r>
              <w:t>Y – Index Register</w:t>
            </w:r>
          </w:p>
        </w:tc>
      </w:tr>
      <w:tr w:rsidR="00E91A28" w14:paraId="4F5C170C" w14:textId="77777777" w:rsidTr="00864787">
        <w:tc>
          <w:tcPr>
            <w:tcW w:w="1985" w:type="dxa"/>
          </w:tcPr>
          <w:p w14:paraId="3BF61772" w14:textId="4021F5FA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AEE345F" w14:textId="77777777" w:rsidR="00E91A28" w:rsidRDefault="00E91A28" w:rsidP="00B03833">
            <w:pPr>
              <w:jc w:val="center"/>
            </w:pPr>
            <w:r>
              <w:t>U – User stack pointer</w:t>
            </w:r>
          </w:p>
        </w:tc>
      </w:tr>
      <w:tr w:rsidR="00E91A28" w14:paraId="1A7640CD" w14:textId="77777777" w:rsidTr="00864787">
        <w:tc>
          <w:tcPr>
            <w:tcW w:w="1985" w:type="dxa"/>
          </w:tcPr>
          <w:p w14:paraId="1AED0EFD" w14:textId="77777777" w:rsidR="00E91A28" w:rsidRDefault="00E91A28" w:rsidP="00B03833">
            <w:pPr>
              <w:jc w:val="center"/>
            </w:pPr>
            <w:r>
              <w:t>0000</w:t>
            </w:r>
          </w:p>
        </w:tc>
        <w:tc>
          <w:tcPr>
            <w:tcW w:w="4253" w:type="dxa"/>
            <w:gridSpan w:val="2"/>
          </w:tcPr>
          <w:p w14:paraId="1364BB68" w14:textId="77777777" w:rsidR="00E91A28" w:rsidRDefault="00E91A28" w:rsidP="00B03833">
            <w:pPr>
              <w:jc w:val="center"/>
            </w:pPr>
            <w:r>
              <w:t>S – Hardware stack pointer</w:t>
            </w:r>
          </w:p>
        </w:tc>
      </w:tr>
      <w:tr w:rsidR="00E91A28" w14:paraId="42C89A3B" w14:textId="77777777" w:rsidTr="00864787">
        <w:tc>
          <w:tcPr>
            <w:tcW w:w="6238" w:type="dxa"/>
            <w:gridSpan w:val="3"/>
          </w:tcPr>
          <w:p w14:paraId="45A0BEE8" w14:textId="77777777" w:rsidR="00E91A28" w:rsidRDefault="00E91A28" w:rsidP="00B03833">
            <w:pPr>
              <w:jc w:val="center"/>
            </w:pPr>
            <w:r>
              <w:t>PC</w:t>
            </w:r>
          </w:p>
        </w:tc>
      </w:tr>
      <w:tr w:rsidR="00A85B6C" w14:paraId="20FA2A0E" w14:textId="77777777" w:rsidTr="00864787">
        <w:tc>
          <w:tcPr>
            <w:tcW w:w="1985" w:type="dxa"/>
          </w:tcPr>
          <w:p w14:paraId="185AB2A6" w14:textId="034553BA" w:rsidR="00A85B6C" w:rsidRDefault="00A85B6C" w:rsidP="00B03833">
            <w:pPr>
              <w:jc w:val="center"/>
            </w:pPr>
          </w:p>
        </w:tc>
        <w:tc>
          <w:tcPr>
            <w:tcW w:w="1985" w:type="dxa"/>
          </w:tcPr>
          <w:p w14:paraId="6A844D70" w14:textId="10662920" w:rsidR="00A85B6C" w:rsidRDefault="00A85B6C" w:rsidP="00B03833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09BB84C" w14:textId="70338369" w:rsidR="00A85B6C" w:rsidRDefault="00A85B6C" w:rsidP="00B03833">
            <w:pPr>
              <w:jc w:val="center"/>
            </w:pPr>
            <w:r>
              <w:t>B</w:t>
            </w:r>
          </w:p>
        </w:tc>
      </w:tr>
      <w:tr w:rsidR="000449F2" w14:paraId="68B9EFDC" w14:textId="77777777" w:rsidTr="00864787">
        <w:tc>
          <w:tcPr>
            <w:tcW w:w="1985" w:type="dxa"/>
          </w:tcPr>
          <w:p w14:paraId="6AE62EBB" w14:textId="40485F91" w:rsidR="000449F2" w:rsidRDefault="000449F2" w:rsidP="00B03833">
            <w:pPr>
              <w:jc w:val="center"/>
            </w:pPr>
          </w:p>
        </w:tc>
        <w:tc>
          <w:tcPr>
            <w:tcW w:w="1985" w:type="dxa"/>
          </w:tcPr>
          <w:p w14:paraId="0B5F4A04" w14:textId="33870DDA" w:rsidR="000449F2" w:rsidRDefault="000449F2" w:rsidP="00B03833">
            <w:pPr>
              <w:jc w:val="center"/>
            </w:pPr>
            <w:r>
              <w:t>DPR</w:t>
            </w:r>
          </w:p>
        </w:tc>
        <w:tc>
          <w:tcPr>
            <w:tcW w:w="2268" w:type="dxa"/>
          </w:tcPr>
          <w:p w14:paraId="61A742C8" w14:textId="73E118BD" w:rsidR="000449F2" w:rsidRDefault="000449F2" w:rsidP="00B03833">
            <w:pPr>
              <w:jc w:val="center"/>
            </w:pPr>
            <w:r>
              <w:t>0</w:t>
            </w:r>
          </w:p>
        </w:tc>
      </w:tr>
      <w:tr w:rsidR="002F3538" w14:paraId="42D50991" w14:textId="77777777" w:rsidTr="00864787">
        <w:tc>
          <w:tcPr>
            <w:tcW w:w="3970" w:type="dxa"/>
            <w:gridSpan w:val="2"/>
          </w:tcPr>
          <w:p w14:paraId="66600A60" w14:textId="2A04F662" w:rsidR="002F3538" w:rsidRDefault="002F3538" w:rsidP="00B03833">
            <w:pPr>
              <w:jc w:val="center"/>
            </w:pPr>
            <w:r>
              <w:t>USPPG</w:t>
            </w:r>
          </w:p>
        </w:tc>
        <w:tc>
          <w:tcPr>
            <w:tcW w:w="2268" w:type="dxa"/>
          </w:tcPr>
          <w:p w14:paraId="0D7B00A9" w14:textId="1B6CE605" w:rsidR="002F3538" w:rsidRDefault="002F3538" w:rsidP="00B03833">
            <w:pPr>
              <w:jc w:val="center"/>
            </w:pPr>
            <w:r>
              <w:t>0</w:t>
            </w:r>
          </w:p>
        </w:tc>
      </w:tr>
    </w:tbl>
    <w:p w14:paraId="117BCAD8" w14:textId="3BC10E2E" w:rsidR="00E91A28" w:rsidRDefault="00672D63" w:rsidP="00864787">
      <w:pPr>
        <w:ind w:left="720"/>
      </w:pPr>
      <w:r>
        <w:t>A,B registers concatenate to form D register</w:t>
      </w:r>
    </w:p>
    <w:p w14:paraId="7B9FA635" w14:textId="0A9366F9" w:rsidR="002F3538" w:rsidRDefault="002F3538" w:rsidP="00864787">
      <w:pPr>
        <w:ind w:left="720"/>
      </w:pPr>
      <w:r>
        <w:t>There is an additional 16-bit register allowing the user stack to be relocated to any page of memory.</w:t>
      </w:r>
    </w:p>
    <w:p w14:paraId="68FCAA66" w14:textId="6BEFEC32" w:rsidR="002F3538" w:rsidRDefault="00133CD5" w:rsidP="00133CD5">
      <w:pPr>
        <w:pStyle w:val="Heading2"/>
      </w:pPr>
      <w:r>
        <w:t>Configurations</w:t>
      </w:r>
    </w:p>
    <w:p w14:paraId="6E453DE3" w14:textId="30E9508A" w:rsidR="00133CD5" w:rsidRDefault="00133CD5" w:rsidP="00133CD5">
      <w:pPr>
        <w:ind w:left="720"/>
      </w:pPr>
      <w:r>
        <w:t>The rf6809 core may be configured to use 12-bit bytes which increases the address range to 36-bits.</w:t>
      </w:r>
    </w:p>
    <w:p w14:paraId="268280C5" w14:textId="02D73C9D" w:rsidR="00E91A28" w:rsidRDefault="005C6A68" w:rsidP="005117EB">
      <w:pPr>
        <w:pStyle w:val="Heading2"/>
      </w:pPr>
      <w:r>
        <w:t xml:space="preserve">Instruction </w:t>
      </w:r>
      <w:r w:rsidR="00E91A28">
        <w:t>Prefixes</w:t>
      </w:r>
    </w:p>
    <w:p w14:paraId="163D0457" w14:textId="10744454" w:rsidR="00864787" w:rsidRPr="00864787" w:rsidRDefault="00864787" w:rsidP="00864787">
      <w:pPr>
        <w:ind w:left="720"/>
      </w:pPr>
      <w:r>
        <w:t>rf6809 makes use of instruction prefixes to extend the addressing modes available. There are two prefixes FAR, and OUTER, which indicate to use a far address or outer indexing.</w:t>
      </w:r>
    </w:p>
    <w:p w14:paraId="7792BD63" w14:textId="77777777" w:rsidR="00E91A28" w:rsidRDefault="00E91A28" w:rsidP="005117EB">
      <w:pPr>
        <w:pStyle w:val="Heading3"/>
      </w:pPr>
      <w:r>
        <w:t>FAR</w:t>
      </w:r>
    </w:p>
    <w:p w14:paraId="5378652B" w14:textId="333DCDE8" w:rsidR="00E91A28" w:rsidRDefault="00E91A28" w:rsidP="00FB4876">
      <w:pPr>
        <w:ind w:left="720"/>
      </w:pPr>
      <w:r>
        <w:t xml:space="preserve">FAR when applied to extended addressing indicates to use a full </w:t>
      </w:r>
      <w:r w:rsidR="00A85B6C">
        <w:t>24</w:t>
      </w:r>
      <w:r w:rsidR="00340D3D">
        <w:t>-</w:t>
      </w:r>
      <w:r>
        <w:t>bit</w:t>
      </w:r>
      <w:r w:rsidR="00EC53BD">
        <w:t>/triple byte</w:t>
      </w:r>
      <w:r>
        <w:t xml:space="preserve"> address rather than a 16 bit one.</w:t>
      </w:r>
    </w:p>
    <w:p w14:paraId="4CCDF32B" w14:textId="4A979C00" w:rsidR="00E91A28" w:rsidRDefault="00E91A28" w:rsidP="00FB4876">
      <w:pPr>
        <w:ind w:left="720"/>
      </w:pPr>
      <w:r>
        <w:t xml:space="preserve">When the FAR prefix is applied to indirect addressing the prefix indicates that the indirect address is </w:t>
      </w:r>
      <w:r w:rsidR="003D044C">
        <w:t>24</w:t>
      </w:r>
      <w:r w:rsidR="00340D3D">
        <w:t>-</w:t>
      </w:r>
      <w:r>
        <w:t xml:space="preserve">bit. This allows the use of a </w:t>
      </w:r>
      <w:r w:rsidR="003D044C">
        <w:t>24</w:t>
      </w:r>
      <w:r w:rsidR="00340D3D">
        <w:t>-</w:t>
      </w:r>
      <w:r>
        <w:t>bit indirect address to reach anywhere in memory.</w:t>
      </w:r>
    </w:p>
    <w:p w14:paraId="13F69C94" w14:textId="77777777" w:rsidR="00427B58" w:rsidRDefault="00427B58" w:rsidP="00FB4876">
      <w:pPr>
        <w:ind w:left="720"/>
      </w:pPr>
      <w:r>
        <w:t>Opcode: 0x15</w:t>
      </w:r>
    </w:p>
    <w:p w14:paraId="76E19914" w14:textId="3327DB6F" w:rsidR="00E91A28" w:rsidRDefault="003D044C" w:rsidP="005117EB">
      <w:pPr>
        <w:pStyle w:val="Heading3"/>
      </w:pPr>
      <w:r>
        <w:t>OUTER</w:t>
      </w:r>
    </w:p>
    <w:p w14:paraId="47BA80C3" w14:textId="238D904A" w:rsidR="00E91A28" w:rsidRDefault="00E91A28" w:rsidP="00FB4876">
      <w:pPr>
        <w:ind w:left="720"/>
      </w:pPr>
      <w:r>
        <w:t xml:space="preserve">The </w:t>
      </w:r>
      <w:r w:rsidR="003D044C">
        <w:t>OUTER</w:t>
      </w:r>
      <w:r>
        <w:t xml:space="preserve"> prefix indicates that the index register is applied after retrieving an indirect address. Normally the index register is used in the calculation of the indirect address.</w:t>
      </w:r>
    </w:p>
    <w:p w14:paraId="08E51DF5" w14:textId="5D9A51CB" w:rsidR="00322199" w:rsidRDefault="00322199" w:rsidP="00FB4876">
      <w:pPr>
        <w:ind w:left="720"/>
      </w:pPr>
      <w:r>
        <w:t>When configured for 12-bit bytes the OUTER prefix is not used as there are sufficient bits in the index post-byte to encode outer indexing mode.</w:t>
      </w:r>
    </w:p>
    <w:p w14:paraId="58EA9347" w14:textId="77777777" w:rsidR="00E91A28" w:rsidRDefault="00427B58" w:rsidP="00FB4876">
      <w:pPr>
        <w:ind w:left="720"/>
      </w:pPr>
      <w:r>
        <w:t>Opcode: 0x1B</w:t>
      </w:r>
    </w:p>
    <w:p w14:paraId="3A20EDD9" w14:textId="77777777" w:rsidR="005117EB" w:rsidRDefault="005117EB">
      <w:r>
        <w:br w:type="page"/>
      </w:r>
    </w:p>
    <w:p w14:paraId="1C517C9E" w14:textId="77777777" w:rsidR="00E91A28" w:rsidRDefault="005117EB" w:rsidP="005117EB">
      <w:pPr>
        <w:pStyle w:val="Heading2"/>
      </w:pPr>
      <w:r>
        <w:lastRenderedPageBreak/>
        <w:t>Additional Instructions</w:t>
      </w:r>
    </w:p>
    <w:p w14:paraId="7D268A9E" w14:textId="77777777" w:rsidR="005117EB" w:rsidRPr="005117EB" w:rsidRDefault="005117EB" w:rsidP="005117EB"/>
    <w:p w14:paraId="4AA0CBB4" w14:textId="40086ADE" w:rsidR="005117EB" w:rsidRDefault="005117EB">
      <w:r w:rsidRPr="00133CD5">
        <w:rPr>
          <w:rStyle w:val="Heading3Char"/>
        </w:rPr>
        <w:t>JMP FAR</w:t>
      </w:r>
      <w:r>
        <w:t xml:space="preserve"> – performs a jump using a </w:t>
      </w:r>
      <w:r w:rsidR="00340D3D">
        <w:t>24</w:t>
      </w:r>
      <w:r w:rsidR="00D743C4">
        <w:t>-</w:t>
      </w:r>
      <w:r>
        <w:t>bit extended address.</w:t>
      </w:r>
    </w:p>
    <w:p w14:paraId="15B39F6C" w14:textId="77777777" w:rsidR="00427B58" w:rsidRDefault="00427B58" w:rsidP="00427B58">
      <w:pPr>
        <w:ind w:firstLine="720"/>
      </w:pPr>
      <w:r>
        <w:t>Opcode: 0x8F</w:t>
      </w:r>
    </w:p>
    <w:p w14:paraId="26F79C59" w14:textId="573CD704" w:rsidR="005117EB" w:rsidRDefault="005117EB">
      <w:r w:rsidRPr="005117EB">
        <w:rPr>
          <w:rStyle w:val="Heading3Char"/>
        </w:rPr>
        <w:t>JSR FAR</w:t>
      </w:r>
      <w:r>
        <w:t xml:space="preserve"> – performs a jump to subroutine using a </w:t>
      </w:r>
      <w:r w:rsidR="00340D3D">
        <w:t>24</w:t>
      </w:r>
      <w:r w:rsidR="00D743C4">
        <w:t>-</w:t>
      </w:r>
      <w:r>
        <w:t xml:space="preserve">bit extended address. The full </w:t>
      </w:r>
      <w:r w:rsidR="00340D3D">
        <w:t>24</w:t>
      </w:r>
      <w:r w:rsidR="00D743C4">
        <w:t>-</w:t>
      </w:r>
      <w:r>
        <w:t>bit program counter is stored on the stack.</w:t>
      </w:r>
    </w:p>
    <w:p w14:paraId="0435B8F5" w14:textId="77777777" w:rsidR="00427B58" w:rsidRDefault="00427B58" w:rsidP="00427B58">
      <w:pPr>
        <w:ind w:firstLine="720"/>
      </w:pPr>
      <w:r>
        <w:t>Opcode: 0xCF</w:t>
      </w:r>
    </w:p>
    <w:p w14:paraId="1C055271" w14:textId="34AF765C" w:rsidR="005117EB" w:rsidRDefault="005117EB">
      <w:r w:rsidRPr="005117EB">
        <w:rPr>
          <w:rStyle w:val="Heading3Char"/>
        </w:rPr>
        <w:t>RTF</w:t>
      </w:r>
      <w:r>
        <w:t xml:space="preserve"> – performs a far return from subroutine by loading a full </w:t>
      </w:r>
      <w:r w:rsidR="00340D3D">
        <w:t>24</w:t>
      </w:r>
      <w:r w:rsidR="00D743C4">
        <w:t>-</w:t>
      </w:r>
      <w:r>
        <w:t>bit program counter from the stack.</w:t>
      </w:r>
    </w:p>
    <w:p w14:paraId="13387ED0" w14:textId="77777777" w:rsidR="00427B58" w:rsidRDefault="00427B58" w:rsidP="00427B58">
      <w:pPr>
        <w:ind w:firstLine="720"/>
      </w:pPr>
      <w:r>
        <w:t>Opcode: 0x38</w:t>
      </w:r>
    </w:p>
    <w:p w14:paraId="4B206616" w14:textId="77777777" w:rsidR="005C3181" w:rsidRDefault="005C3181">
      <w:r>
        <w:t>Indirect addresses must reside within the first 64k bank of memory.</w:t>
      </w:r>
    </w:p>
    <w:p w14:paraId="34F936E7" w14:textId="77777777" w:rsidR="00A55E07" w:rsidRDefault="00A55E07"/>
    <w:p w14:paraId="57BC1EBF" w14:textId="77777777" w:rsidR="00427B58" w:rsidRDefault="00672D63" w:rsidP="00672D63">
      <w:pPr>
        <w:pStyle w:val="Heading2"/>
      </w:pPr>
      <w:r>
        <w:t>Differences from the 6809</w:t>
      </w:r>
    </w:p>
    <w:p w14:paraId="66F475A1" w14:textId="18613F14" w:rsidR="001D2EF5" w:rsidRDefault="001D2EF5" w:rsidP="00D743C4">
      <w:pPr>
        <w:ind w:left="720"/>
      </w:pPr>
      <w:r>
        <w:t xml:space="preserve">The program counter is a full </w:t>
      </w:r>
      <w:r w:rsidR="00340D3D">
        <w:t>24</w:t>
      </w:r>
      <w:r w:rsidR="00B14FC8">
        <w:t>-</w:t>
      </w:r>
      <w:r>
        <w:t xml:space="preserve">bit register. The JMP and JSR instructions modify only the low order 16 bits of the program counter. To modify the full </w:t>
      </w:r>
      <w:r w:rsidR="00340D3D">
        <w:t>24</w:t>
      </w:r>
      <w:r w:rsidR="00B14FC8">
        <w:t>-</w:t>
      </w:r>
      <w:r>
        <w:t>bits use the JMP FAR and JSR FAR instructions.</w:t>
      </w:r>
      <w:r w:rsidR="00D743C4">
        <w:t xml:space="preserve"> A return from a far subroutine may be done using the RTF instruction.</w:t>
      </w:r>
    </w:p>
    <w:p w14:paraId="4B517F13" w14:textId="186FA2CB" w:rsidR="00672D63" w:rsidRDefault="00672D63" w:rsidP="00D743C4">
      <w:pPr>
        <w:ind w:left="720"/>
      </w:pPr>
      <w:r>
        <w:t xml:space="preserve">During interrupt processing the entire </w:t>
      </w:r>
      <w:r w:rsidR="00340D3D">
        <w:t>24</w:t>
      </w:r>
      <w:r w:rsidR="00B14FC8">
        <w:t>-</w:t>
      </w:r>
      <w:r>
        <w:t xml:space="preserve">bit program counter is stacked. The RTI instruction also loads the entire </w:t>
      </w:r>
      <w:r w:rsidR="00340D3D">
        <w:t>24</w:t>
      </w:r>
      <w:r w:rsidR="00B14FC8">
        <w:t>-</w:t>
      </w:r>
      <w:r>
        <w:t>bit program counter.</w:t>
      </w:r>
    </w:p>
    <w:p w14:paraId="4611BB4E" w14:textId="7CF63451" w:rsidR="008F0475" w:rsidRDefault="008F0475" w:rsidP="008F0475">
      <w:pPr>
        <w:pStyle w:val="Heading3"/>
      </w:pPr>
      <w:r>
        <w:t>Control Registers</w:t>
      </w:r>
    </w:p>
    <w:p w14:paraId="0DC4F4A8" w14:textId="7F99426E" w:rsidR="008F0475" w:rsidRDefault="008F0475" w:rsidP="00D743C4">
      <w:pPr>
        <w:ind w:left="720"/>
      </w:pPr>
      <w:r>
        <w:t>There are several control registers mapped into the address 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7"/>
        <w:gridCol w:w="811"/>
        <w:gridCol w:w="6978"/>
      </w:tblGrid>
      <w:tr w:rsidR="008F0475" w14:paraId="78D49EC8" w14:textId="77777777" w:rsidTr="008F0475">
        <w:tc>
          <w:tcPr>
            <w:tcW w:w="1067" w:type="dxa"/>
          </w:tcPr>
          <w:p w14:paraId="009899D9" w14:textId="6AC77AD9" w:rsidR="008F0475" w:rsidRDefault="008F0475" w:rsidP="008F0475">
            <w:pPr>
              <w:jc w:val="center"/>
            </w:pPr>
            <w:r>
              <w:t>Address</w:t>
            </w:r>
          </w:p>
        </w:tc>
        <w:tc>
          <w:tcPr>
            <w:tcW w:w="731" w:type="dxa"/>
          </w:tcPr>
          <w:p w14:paraId="45492C21" w14:textId="14E93733" w:rsidR="008F0475" w:rsidRDefault="008F0475" w:rsidP="008F0475">
            <w:pPr>
              <w:jc w:val="center"/>
            </w:pPr>
            <w:r>
              <w:t>Access</w:t>
            </w:r>
          </w:p>
        </w:tc>
        <w:tc>
          <w:tcPr>
            <w:tcW w:w="7058" w:type="dxa"/>
          </w:tcPr>
          <w:p w14:paraId="7952CECE" w14:textId="32280B60" w:rsidR="008F0475" w:rsidRDefault="008F0475" w:rsidP="00D743C4">
            <w:r>
              <w:t>Register Usage</w:t>
            </w:r>
          </w:p>
        </w:tc>
      </w:tr>
      <w:tr w:rsidR="008F0475" w14:paraId="11D81B9C" w14:textId="77777777" w:rsidTr="008F0475">
        <w:tc>
          <w:tcPr>
            <w:tcW w:w="1067" w:type="dxa"/>
          </w:tcPr>
          <w:p w14:paraId="0FDC6442" w14:textId="4CEB13D6" w:rsidR="008F0475" w:rsidRDefault="008F0475" w:rsidP="008F0475">
            <w:pPr>
              <w:jc w:val="center"/>
            </w:pPr>
            <w:r>
              <w:t>FF..FE0</w:t>
            </w:r>
          </w:p>
        </w:tc>
        <w:tc>
          <w:tcPr>
            <w:tcW w:w="731" w:type="dxa"/>
          </w:tcPr>
          <w:p w14:paraId="54BD814C" w14:textId="1B1DBDAC" w:rsidR="008F0475" w:rsidRDefault="008F0475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14FEE65C" w14:textId="232EC80E" w:rsidR="008F0475" w:rsidRDefault="008F0475" w:rsidP="00D743C4">
            <w:r>
              <w:t xml:space="preserve">Core ID – used to identify core in multi-core application. Reflects the value of the </w:t>
            </w:r>
            <w:proofErr w:type="spellStart"/>
            <w:r>
              <w:t>coreid_i</w:t>
            </w:r>
            <w:proofErr w:type="spellEnd"/>
            <w:r>
              <w:t xml:space="preserve"> input.</w:t>
            </w:r>
          </w:p>
        </w:tc>
      </w:tr>
      <w:tr w:rsidR="008F0475" w14:paraId="1AF4FF50" w14:textId="77777777" w:rsidTr="008F0475">
        <w:tc>
          <w:tcPr>
            <w:tcW w:w="1067" w:type="dxa"/>
          </w:tcPr>
          <w:p w14:paraId="2AA7EE63" w14:textId="0FFF88D0" w:rsidR="008F0475" w:rsidRDefault="008F0475" w:rsidP="008F0475">
            <w:pPr>
              <w:jc w:val="center"/>
            </w:pPr>
            <w:r>
              <w:t>FF..FE1</w:t>
            </w:r>
          </w:p>
        </w:tc>
        <w:tc>
          <w:tcPr>
            <w:tcW w:w="731" w:type="dxa"/>
          </w:tcPr>
          <w:p w14:paraId="3FD5B359" w14:textId="719676EE" w:rsidR="008F0475" w:rsidRDefault="008F0475" w:rsidP="008F0475">
            <w:pPr>
              <w:jc w:val="center"/>
            </w:pPr>
            <w:r>
              <w:t>WO</w:t>
            </w:r>
          </w:p>
        </w:tc>
        <w:tc>
          <w:tcPr>
            <w:tcW w:w="7058" w:type="dxa"/>
          </w:tcPr>
          <w:p w14:paraId="07712715" w14:textId="05163401" w:rsidR="008F0475" w:rsidRDefault="008F0475" w:rsidP="00D743C4">
            <w:r>
              <w:t>Checkpoint register. If checkpointing is enabled this register must be written within one second, or an NMI will occur.</w:t>
            </w:r>
          </w:p>
        </w:tc>
      </w:tr>
      <w:tr w:rsidR="008F0475" w14:paraId="1B585B27" w14:textId="77777777" w:rsidTr="008F0475">
        <w:tc>
          <w:tcPr>
            <w:tcW w:w="1067" w:type="dxa"/>
          </w:tcPr>
          <w:p w14:paraId="43F359C2" w14:textId="622B58DB" w:rsidR="008F0475" w:rsidRDefault="0025685B" w:rsidP="008F0475">
            <w:pPr>
              <w:jc w:val="center"/>
            </w:pPr>
            <w:r>
              <w:t>FF..FE4/5</w:t>
            </w:r>
          </w:p>
        </w:tc>
        <w:tc>
          <w:tcPr>
            <w:tcW w:w="731" w:type="dxa"/>
          </w:tcPr>
          <w:p w14:paraId="49B56CFD" w14:textId="02931E00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69C73C12" w14:textId="2A96CB28" w:rsidR="008F0475" w:rsidRDefault="0025685B" w:rsidP="00D743C4">
            <w:r>
              <w:t>high order bits of millisecond count</w:t>
            </w:r>
          </w:p>
        </w:tc>
      </w:tr>
      <w:tr w:rsidR="008F0475" w14:paraId="41ED54FF" w14:textId="77777777" w:rsidTr="008F0475">
        <w:tc>
          <w:tcPr>
            <w:tcW w:w="1067" w:type="dxa"/>
          </w:tcPr>
          <w:p w14:paraId="27ADAE20" w14:textId="2A06F306" w:rsidR="008F0475" w:rsidRDefault="0025685B" w:rsidP="008F0475">
            <w:pPr>
              <w:jc w:val="center"/>
            </w:pPr>
            <w:r>
              <w:t>FF.FF6/7</w:t>
            </w:r>
          </w:p>
        </w:tc>
        <w:tc>
          <w:tcPr>
            <w:tcW w:w="731" w:type="dxa"/>
          </w:tcPr>
          <w:p w14:paraId="6BA00490" w14:textId="63B66709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4CFDDBFD" w14:textId="03C21174" w:rsidR="008F0475" w:rsidRDefault="0025685B" w:rsidP="00D743C4">
            <w:r>
              <w:t>low order bits of millisecond count</w:t>
            </w:r>
          </w:p>
        </w:tc>
      </w:tr>
    </w:tbl>
    <w:p w14:paraId="35966C46" w14:textId="54AE9BFB" w:rsidR="008F0475" w:rsidRDefault="00681EDD" w:rsidP="00D743C4">
      <w:pPr>
        <w:ind w:left="720"/>
      </w:pPr>
      <w:r>
        <w:t>The millisecond count register contains a count of the number of milliseconds since the last reset.</w:t>
      </w:r>
    </w:p>
    <w:p w14:paraId="501DAFC4" w14:textId="77777777" w:rsidR="001061B2" w:rsidRDefault="001061B2" w:rsidP="001061B2">
      <w:pPr>
        <w:pStyle w:val="Heading3"/>
      </w:pPr>
      <w:r>
        <w:t>Checkpoint Register</w:t>
      </w:r>
    </w:p>
    <w:p w14:paraId="1DECD4D0" w14:textId="77777777" w:rsidR="001061B2" w:rsidRDefault="001061B2" w:rsidP="001061B2">
      <w:pPr>
        <w:ind w:left="720"/>
      </w:pPr>
      <w:r>
        <w:t>The core may be configured to include a checkpoint register and timer. When checkpointing is present an NMI will be generated is the checkpoint register is not written to within one second.</w:t>
      </w:r>
    </w:p>
    <w:p w14:paraId="1084D0B9" w14:textId="77777777" w:rsidR="004B2DE3" w:rsidRDefault="004B2DE3" w:rsidP="004B2DE3">
      <w:pPr>
        <w:pStyle w:val="Heading3"/>
      </w:pPr>
      <w:r>
        <w:lastRenderedPageBreak/>
        <w:t>Hardware:</w:t>
      </w:r>
    </w:p>
    <w:p w14:paraId="5248145C" w14:textId="12BFD538" w:rsidR="00672D63" w:rsidRDefault="004B2DE3" w:rsidP="00322199">
      <w:pPr>
        <w:ind w:left="720"/>
      </w:pPr>
      <w:r>
        <w:t xml:space="preserve">This is a softcore implementation of a 6809 compatible processor. As such no attempt was made to duplicate the 6809’s bus cycle activity. Instructions may not execute in the same number of clock cycles as the 6809. </w:t>
      </w:r>
      <w:r w:rsidR="00322199">
        <w:t>Instructions in some circumstances execute in fewer clock cycles.</w:t>
      </w:r>
    </w:p>
    <w:p w14:paraId="34D2EAF5" w14:textId="77777777" w:rsidR="001061B2" w:rsidRDefault="001061B2" w:rsidP="00322199">
      <w:pPr>
        <w:ind w:left="720"/>
      </w:pPr>
    </w:p>
    <w:sectPr w:rsidR="00106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28"/>
    <w:rsid w:val="00005B79"/>
    <w:rsid w:val="000449F2"/>
    <w:rsid w:val="001061B2"/>
    <w:rsid w:val="001113C9"/>
    <w:rsid w:val="00133CD5"/>
    <w:rsid w:val="001D2EF5"/>
    <w:rsid w:val="0025685B"/>
    <w:rsid w:val="002F3538"/>
    <w:rsid w:val="00322199"/>
    <w:rsid w:val="00340BAE"/>
    <w:rsid w:val="00340D3D"/>
    <w:rsid w:val="00355BC5"/>
    <w:rsid w:val="00382169"/>
    <w:rsid w:val="003D044C"/>
    <w:rsid w:val="00427B58"/>
    <w:rsid w:val="004B2DE3"/>
    <w:rsid w:val="005117EB"/>
    <w:rsid w:val="0055135A"/>
    <w:rsid w:val="005C3181"/>
    <w:rsid w:val="005C6A68"/>
    <w:rsid w:val="00672D63"/>
    <w:rsid w:val="00681EDD"/>
    <w:rsid w:val="00693E81"/>
    <w:rsid w:val="00794F1F"/>
    <w:rsid w:val="00864787"/>
    <w:rsid w:val="008F0475"/>
    <w:rsid w:val="00A55E07"/>
    <w:rsid w:val="00A85B6C"/>
    <w:rsid w:val="00B14FC8"/>
    <w:rsid w:val="00D743C4"/>
    <w:rsid w:val="00DA040B"/>
    <w:rsid w:val="00E91A28"/>
    <w:rsid w:val="00EC53BD"/>
    <w:rsid w:val="00FB1365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ABA"/>
  <w15:docId w15:val="{EDBF13B5-DD3E-4D23-AFDF-75EF01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1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33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29</cp:revision>
  <dcterms:created xsi:type="dcterms:W3CDTF">2013-10-27T12:53:00Z</dcterms:created>
  <dcterms:modified xsi:type="dcterms:W3CDTF">2022-01-13T15:17:00Z</dcterms:modified>
</cp:coreProperties>
</file>