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bookmarkStart w:colFirst="0" w:colLast="0" w:name="_6uhbj9vp57l8" w:id="0"/>
      <w:bookmarkEnd w:id="0"/>
      <w:r w:rsidDel="00000000" w:rsidR="00000000" w:rsidRPr="00000000">
        <w:rPr>
          <w:rFonts w:ascii="Arial" w:cs="Arial" w:eastAsia="Arial" w:hAnsi="Arial"/>
          <w:rtl w:val="0"/>
        </w:rPr>
        <w:t xml:space="preserve">Operation Hot Lead: Post-Production Intelligence Briefing</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This document outlines key intelligence findings relevant to the production of the motion picture "Tropic Thunder." The findings focus on identifying and neutralizing threats, managing assets, and securing the creative integrity of the mission.</w:t>
      </w:r>
    </w:p>
    <w:p w:rsidR="00000000" w:rsidDel="00000000" w:rsidP="00000000" w:rsidRDefault="00000000" w:rsidRPr="00000000" w14:paraId="00000003">
      <w:pPr>
        <w:pStyle w:val="Heading2"/>
        <w:rPr>
          <w:rFonts w:ascii="Arial" w:cs="Arial" w:eastAsia="Arial" w:hAnsi="Arial"/>
        </w:rPr>
      </w:pPr>
      <w:bookmarkStart w:colFirst="0" w:colLast="0" w:name="_7yfd6mpy15o" w:id="1"/>
      <w:bookmarkEnd w:id="1"/>
      <w:r w:rsidDel="00000000" w:rsidR="00000000" w:rsidRPr="00000000">
        <w:rPr>
          <w:rFonts w:ascii="Arial" w:cs="Arial" w:eastAsia="Arial" w:hAnsi="Arial"/>
          <w:rtl w:val="0"/>
        </w:rPr>
        <w:t xml:space="preserve">Threat Assessment: The Flaming Dragon</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The primary hostile element is "The Flaming Dragon," a local drug cartel operating within the principal photography zone.</w:t>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ind w:left="6480" w:firstLine="0"/>
        <w:rPr>
          <w:rFonts w:ascii="Arial" w:cs="Arial" w:eastAsia="Arial" w:hAnsi="Arial"/>
        </w:rPr>
      </w:pPr>
      <w:r w:rsidDel="00000000" w:rsidR="00000000" w:rsidRPr="00000000">
        <w:rPr>
          <w:rFonts w:ascii="Arial" w:cs="Arial" w:eastAsia="Arial" w:hAnsi="Arial"/>
          <w:rtl w:val="0"/>
        </w:rPr>
        <w:t xml:space="preserve">Classified By: Tony Stark</w:t>
      </w:r>
    </w:p>
    <w:p w:rsidR="00000000" w:rsidDel="00000000" w:rsidP="00000000" w:rsidRDefault="00000000" w:rsidRPr="00000000" w14:paraId="00000008">
      <w:pPr>
        <w:ind w:left="6480" w:firstLine="0"/>
        <w:rPr>
          <w:rFonts w:ascii="Arial" w:cs="Arial" w:eastAsia="Arial" w:hAnsi="Arial"/>
        </w:rPr>
      </w:pPr>
      <w:r w:rsidDel="00000000" w:rsidR="00000000" w:rsidRPr="00000000">
        <w:rPr>
          <w:rFonts w:ascii="Arial" w:cs="Arial" w:eastAsia="Arial" w:hAnsi="Arial"/>
          <w:rtl w:val="0"/>
        </w:rPr>
        <w:t xml:space="preserve">Reason: 1.4 (B)</w:t>
      </w:r>
    </w:p>
    <w:p w:rsidR="00000000" w:rsidDel="00000000" w:rsidP="00000000" w:rsidRDefault="00000000" w:rsidRPr="00000000" w14:paraId="00000009">
      <w:pPr>
        <w:ind w:left="6480" w:firstLine="0"/>
        <w:rPr>
          <w:rFonts w:ascii="Arial" w:cs="Arial" w:eastAsia="Arial" w:hAnsi="Arial"/>
        </w:rPr>
      </w:pPr>
      <w:r w:rsidDel="00000000" w:rsidR="00000000" w:rsidRPr="00000000">
        <w:rPr>
          <w:rFonts w:ascii="Arial" w:cs="Arial" w:eastAsia="Arial" w:hAnsi="Arial"/>
          <w:rtl w:val="0"/>
        </w:rPr>
        <w:t xml:space="preserve">Declassify By: 20450214</w:t>
      </w:r>
    </w:p>
    <w:p w:rsidR="00000000" w:rsidDel="00000000" w:rsidP="00000000" w:rsidRDefault="00000000" w:rsidRPr="00000000" w14:paraId="0000000A">
      <w:pPr>
        <w:pStyle w:val="Heading2"/>
        <w:rPr>
          <w:rFonts w:ascii="Arial" w:cs="Arial" w:eastAsia="Arial" w:hAnsi="Arial"/>
        </w:rPr>
      </w:pPr>
      <w:bookmarkStart w:colFirst="0" w:colLast="0" w:name="_814rjl6nkqge" w:id="2"/>
      <w:bookmarkEnd w:id="2"/>
      <w:r w:rsidDel="00000000" w:rsidR="00000000" w:rsidRPr="00000000">
        <w:rPr>
          <w:rtl w:val="0"/>
        </w:rPr>
      </w:r>
    </w:p>
    <w:p w:rsidR="00000000" w:rsidDel="00000000" w:rsidP="00000000" w:rsidRDefault="00000000" w:rsidRPr="00000000" w14:paraId="0000000B">
      <w:pPr>
        <w:pStyle w:val="Heading2"/>
        <w:rPr>
          <w:rFonts w:ascii="Arial" w:cs="Arial" w:eastAsia="Arial" w:hAnsi="Arial"/>
        </w:rPr>
      </w:pPr>
      <w:bookmarkStart w:colFirst="0" w:colLast="0" w:name="_ocl4uby4pqqe" w:id="3"/>
      <w:bookmarkEnd w:id="3"/>
      <w:r w:rsidDel="00000000" w:rsidR="00000000" w:rsidRPr="00000000">
        <w:rPr>
          <w:rFonts w:ascii="Arial" w:cs="Arial" w:eastAsia="Arial" w:hAnsi="Arial"/>
          <w:rtl w:val="0"/>
        </w:rPr>
        <w:t xml:space="preserve">Key Personnel</w:t>
      </w:r>
    </w:p>
    <w:tbl>
      <w:tblPr>
        <w:tblStyle w:val="Table1"/>
        <w:tblW w:w="10500.0" w:type="dxa"/>
        <w:jc w:val="left"/>
        <w:tblBorders>
          <w:top w:color="303030" w:space="0" w:sz="18" w:val="single"/>
          <w:left w:color="000000" w:space="0" w:sz="0" w:val="nil"/>
          <w:bottom w:color="000000" w:space="0" w:sz="0" w:val="nil"/>
          <w:right w:color="000000" w:space="0" w:sz="0" w:val="nil"/>
          <w:insideH w:color="000000" w:space="0" w:sz="0" w:val="nil"/>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20" w:hRule="atLeast"/>
          <w:tblHeader w:val="1"/>
        </w:trPr>
        <w:tc>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Designation</w:t>
            </w:r>
          </w:p>
        </w:tc>
        <w:tc>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Threat Level</w:t>
            </w:r>
          </w:p>
        </w:tc>
        <w:tc>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Notes</w:t>
            </w:r>
          </w:p>
        </w:tc>
      </w:tr>
      <w:tr>
        <w:trPr>
          <w:cantSplit w:val="0"/>
          <w:trHeight w:val="720" w:hRule="atLeast"/>
          <w:tblHeader w:val="0"/>
        </w:trPr>
        <w:tc>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Four Leaf Tayback (FKA </w:t>
            </w:r>
            <w:r w:rsidDel="00000000" w:rsidR="00000000" w:rsidRPr="00000000">
              <w:rPr>
                <w:rFonts w:ascii="Arial" w:cs="Arial" w:eastAsia="Arial" w:hAnsi="Arial"/>
                <w:rtl w:val="0"/>
              </w:rPr>
              <w:t xml:space="preserve">Person</w:t>
            </w:r>
            <w:r w:rsidDel="00000000" w:rsidR="00000000" w:rsidRPr="00000000">
              <w:rPr>
                <w:rFonts w:ascii="Arial" w:cs="Arial" w:eastAsia="Arial" w:hAnsi="Arial"/>
                <w:rtl w:val="0"/>
              </w:rPr>
              <w:t xml:space="preserve">)</w:t>
            </w:r>
          </w:p>
        </w:tc>
        <w:tc>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Former Green Beret; highly unpredictable. Motives include securing narcotics assets and maintaining control over the territory.</w:t>
            </w:r>
          </w:p>
        </w:tc>
      </w:tr>
      <w:tr>
        <w:trPr>
          <w:cantSplit w:val="0"/>
          <w:trHeight w:val="720" w:hRule="atLeast"/>
          <w:tblHeader w:val="0"/>
        </w:trPr>
        <w:tc>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The Cartel Lieutenant</w:t>
            </w:r>
          </w:p>
        </w:tc>
        <w:tc>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Direct subordinate to Tayback. Controls local ground operations and logistics.</w:t>
            </w:r>
          </w:p>
        </w:tc>
      </w:tr>
      <w:tr>
        <w:trPr>
          <w:cantSplit w:val="0"/>
          <w:trHeight w:val="720" w:hRule="atLeast"/>
          <w:tblHeader w:val="0"/>
        </w:trPr>
        <w:tc>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Local Militia</w:t>
            </w:r>
          </w:p>
        </w:tc>
        <w:tc>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Low</w:t>
            </w:r>
          </w:p>
        </w:tc>
        <w:tc>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Indigenous forces primarily used for manual labor and security perimeter patrols. Unreliable in direct combat.</w:t>
            </w:r>
          </w:p>
        </w:tc>
      </w:tr>
    </w:tbl>
    <w:p w:rsidR="00000000" w:rsidDel="00000000" w:rsidP="00000000" w:rsidRDefault="00000000" w:rsidRPr="00000000" w14:paraId="00000018">
      <w:pPr>
        <w:pStyle w:val="Heading2"/>
        <w:rPr>
          <w:rFonts w:ascii="Arial" w:cs="Arial" w:eastAsia="Arial" w:hAnsi="Arial"/>
        </w:rPr>
      </w:pPr>
      <w:bookmarkStart w:colFirst="0" w:colLast="0" w:name="_jyfzxpdnpupf" w:id="4"/>
      <w:bookmarkEnd w:id="4"/>
      <w:r w:rsidDel="00000000" w:rsidR="00000000" w:rsidRPr="00000000">
        <w:rPr>
          <w:rFonts w:ascii="Arial" w:cs="Arial" w:eastAsia="Arial" w:hAnsi="Arial"/>
          <w:rtl w:val="0"/>
        </w:rPr>
        <w:t xml:space="preserve">Operational Objectives</w:t>
      </w:r>
    </w:p>
    <w:p w:rsidR="00000000" w:rsidDel="00000000" w:rsidP="00000000" w:rsidRDefault="00000000" w:rsidRPr="00000000" w14:paraId="00000019">
      <w:pPr>
        <w:numPr>
          <w:ilvl w:val="0"/>
          <w:numId w:val="1"/>
        </w:numPr>
        <w:ind w:left="720" w:hanging="360"/>
      </w:pPr>
      <w:r w:rsidDel="00000000" w:rsidR="00000000" w:rsidRPr="00000000">
        <w:rPr>
          <w:rFonts w:ascii="Arial" w:cs="Arial" w:eastAsia="Arial" w:hAnsi="Arial"/>
          <w:b w:val="1"/>
          <w:bCs w:val="1"/>
          <w:rtl w:val="0"/>
        </w:rPr>
        <w:t xml:space="preserve">Drug Trafficking:</w:t>
      </w:r>
      <w:r w:rsidDel="00000000" w:rsidR="00000000" w:rsidRPr="00000000">
        <w:rPr>
          <w:rFonts w:ascii="Arial" w:cs="Arial" w:eastAsia="Arial" w:hAnsi="Arial"/>
          <w:rtl w:val="0"/>
        </w:rPr>
        <w:t xml:space="preserve"> Continued production and distribution of opium within the "hot zone."</w:t>
      </w:r>
    </w:p>
    <w:p w:rsidR="00000000" w:rsidDel="00000000" w:rsidP="00000000" w:rsidRDefault="00000000" w:rsidRPr="00000000" w14:paraId="0000001A">
      <w:pPr>
        <w:numPr>
          <w:ilvl w:val="0"/>
          <w:numId w:val="1"/>
        </w:numPr>
        <w:ind w:left="720" w:hanging="360"/>
      </w:pPr>
      <w:r w:rsidDel="00000000" w:rsidR="00000000" w:rsidRPr="00000000">
        <w:rPr>
          <w:rFonts w:ascii="Arial" w:cs="Arial" w:eastAsia="Arial" w:hAnsi="Arial"/>
          <w:b w:val="1"/>
          <w:bCs w:val="1"/>
          <w:rtl w:val="0"/>
        </w:rPr>
        <w:t xml:space="preserve">Asset Seizure:</w:t>
      </w:r>
      <w:r w:rsidDel="00000000" w:rsidR="00000000" w:rsidRPr="00000000">
        <w:rPr>
          <w:rFonts w:ascii="Arial" w:cs="Arial" w:eastAsia="Arial" w:hAnsi="Arial"/>
          <w:rtl w:val="0"/>
        </w:rPr>
        <w:t xml:space="preserve"> Capture or elimination of high-value targets (the actors) for ransom or forced labor.</w:t>
      </w:r>
    </w:p>
    <w:p w:rsidR="00000000" w:rsidDel="00000000" w:rsidP="00000000" w:rsidRDefault="00000000" w:rsidRPr="00000000" w14:paraId="0000001B">
      <w:pPr>
        <w:pStyle w:val="Heading1"/>
        <w:rPr>
          <w:rFonts w:ascii="Arial" w:cs="Arial" w:eastAsia="Arial" w:hAnsi="Arial"/>
        </w:rPr>
      </w:pPr>
      <w:bookmarkStart w:colFirst="0" w:colLast="0" w:name="_joe7frqr9e8t" w:id="5"/>
      <w:bookmarkEnd w:id="5"/>
      <w:r w:rsidDel="00000000" w:rsidR="00000000" w:rsidRPr="00000000">
        <w:rPr>
          <w:rFonts w:ascii="Arial" w:cs="Arial" w:eastAsia="Arial" w:hAnsi="Arial"/>
          <w:rtl w:val="0"/>
        </w:rPr>
        <w:t xml:space="preserve">Asset Management: Principal Cast</w:t>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The following individuals are considered high-value assets vital to the success of the mission (the film). Their mental and physical stability is a persistent concern.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
        <w:tblW w:w="14000.0" w:type="dxa"/>
        <w:jc w:val="left"/>
        <w:tblBorders>
          <w:top w:color="303030" w:space="0" w:sz="18" w:val="single"/>
          <w:left w:color="000000" w:space="0" w:sz="0" w:val="nil"/>
          <w:bottom w:color="000000" w:space="0" w:sz="0" w:val="nil"/>
          <w:right w:color="000000" w:space="0" w:sz="0" w:val="nil"/>
          <w:insideH w:color="000000" w:space="0" w:sz="0" w:val="nil"/>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20" w:hRule="atLeast"/>
          <w:tblHeader w:val="1"/>
        </w:trPr>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Asset Designation</w:t>
            </w:r>
          </w:p>
        </w:tc>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Role</w:t>
            </w:r>
          </w:p>
        </w:tc>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Current Status</w:t>
            </w:r>
          </w:p>
        </w:tc>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Notes</w:t>
            </w:r>
          </w:p>
        </w:tc>
      </w:tr>
      <w:tr>
        <w:trPr>
          <w:cantSplit w:val="0"/>
          <w:trHeight w:val="720" w:hRule="atLeast"/>
          <w:tblHeader w:val="0"/>
        </w:trPr>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Tugg Speedman</w:t>
            </w:r>
          </w:p>
        </w:tc>
        <w:tc>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Action Star</w:t>
            </w:r>
          </w:p>
        </w:tc>
        <w:tc>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Highly unstable; suffering from method acting delusion and severe abandonment issues. Requires constant supervision.</w:t>
            </w:r>
          </w:p>
        </w:tc>
        <w:tc>
          <w:tcPr/>
          <w:p w:rsidR="00000000" w:rsidDel="00000000" w:rsidP="00000000" w:rsidRDefault="00000000" w:rsidRPr="00000000" w14:paraId="00000025">
            <w:pPr>
              <w:rPr>
                <w:rFonts w:ascii="Arial" w:cs="Arial" w:eastAsia="Arial" w:hAnsi="Arial"/>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Kirk Lazarus</w:t>
            </w:r>
          </w:p>
        </w:tc>
        <w:tc>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Method Actor</w:t>
            </w:r>
          </w:p>
        </w:tc>
        <w:tc>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Engaged in unauthorized, deep-cover immersion. Physical identity is currently compromised (skin darkening). </w:t>
            </w:r>
            <w:r w:rsidDel="00000000" w:rsidR="00000000" w:rsidRPr="00000000">
              <w:rPr>
                <w:rFonts w:ascii="Arial" w:cs="Arial" w:eastAsia="Arial" w:hAnsi="Arial"/>
                <w:b w:val="1"/>
                <w:bCs w:val="1"/>
                <w:rtl w:val="0"/>
              </w:rPr>
              <w:t xml:space="preserve">DO NOT</w:t>
            </w:r>
            <w:r w:rsidDel="00000000" w:rsidR="00000000" w:rsidRPr="00000000">
              <w:rPr>
                <w:rFonts w:ascii="Arial" w:cs="Arial" w:eastAsia="Arial" w:hAnsi="Arial"/>
                <w:rtl w:val="0"/>
              </w:rPr>
              <w:t xml:space="preserve"> address him by his birth name.</w:t>
            </w:r>
          </w:p>
        </w:tc>
        <w:tc>
          <w:tcPr/>
          <w:p w:rsidR="00000000" w:rsidDel="00000000" w:rsidP="00000000" w:rsidRDefault="00000000" w:rsidRPr="00000000" w14:paraId="00000029">
            <w:pPr>
              <w:rPr>
                <w:rFonts w:ascii="Arial" w:cs="Arial" w:eastAsia="Arial" w:hAnsi="Arial"/>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Jeff Portnoy</w:t>
            </w:r>
          </w:p>
        </w:tc>
        <w:tc>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Comedic Actor</w:t>
            </w:r>
          </w:p>
        </w:tc>
        <w:tc>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Suffering from severe drug dependency. The immediate priority is controlling the supply of stimulants and depressants.</w:t>
            </w:r>
          </w:p>
        </w:tc>
        <w:tc>
          <w:tcPr/>
          <w:p w:rsidR="00000000" w:rsidDel="00000000" w:rsidP="00000000" w:rsidRDefault="00000000" w:rsidRPr="00000000" w14:paraId="0000002D">
            <w:pPr>
              <w:rPr>
                <w:rFonts w:ascii="Arial" w:cs="Arial" w:eastAsia="Arial" w:hAnsi="Arial"/>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Alpa Chino</w:t>
            </w:r>
          </w:p>
        </w:tc>
        <w:tc>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Hip-Hop Mogul</w:t>
            </w:r>
          </w:p>
        </w:tc>
        <w:tc>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Focused on brand synergy ("Booty Sweat"). Requires frequent access to communication channels for marketing updates.</w:t>
            </w:r>
          </w:p>
        </w:tc>
        <w:tc>
          <w:tcPr/>
          <w:p w:rsidR="00000000" w:rsidDel="00000000" w:rsidP="00000000" w:rsidRDefault="00000000" w:rsidRPr="00000000" w14:paraId="00000031">
            <w:pPr>
              <w:rPr>
                <w:rFonts w:ascii="Arial" w:cs="Arial" w:eastAsia="Arial" w:hAnsi="Arial"/>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Kevin Sandusky</w:t>
            </w:r>
          </w:p>
        </w:tc>
        <w:tc>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Supporting Actor</w:t>
            </w:r>
          </w:p>
        </w:tc>
        <w:tc>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Most rational of the group, but highly susceptible to groupthink and peer pressure.</w:t>
            </w:r>
          </w:p>
        </w:tc>
        <w:tc>
          <w:tcPr/>
          <w:p w:rsidR="00000000" w:rsidDel="00000000" w:rsidP="00000000" w:rsidRDefault="00000000" w:rsidRPr="00000000" w14:paraId="00000035">
            <w:pPr>
              <w:rPr>
                <w:rFonts w:ascii="Arial" w:cs="Arial" w:eastAsia="Arial" w:hAnsi="Arial"/>
              </w:rPr>
            </w:pPr>
            <w:r w:rsidDel="00000000" w:rsidR="00000000" w:rsidRPr="00000000">
              <w:rPr>
                <w:rtl w:val="0"/>
              </w:rPr>
            </w:r>
          </w:p>
        </w:tc>
      </w:tr>
    </w:tbl>
    <w:p w:rsidR="00000000" w:rsidDel="00000000" w:rsidP="00000000" w:rsidRDefault="00000000" w:rsidRPr="00000000" w14:paraId="00000036">
      <w:pPr>
        <w:pStyle w:val="Heading1"/>
        <w:rPr>
          <w:rFonts w:ascii="Arial" w:cs="Arial" w:eastAsia="Arial" w:hAnsi="Arial"/>
        </w:rPr>
      </w:pPr>
      <w:bookmarkStart w:colFirst="0" w:colLast="0" w:name="_wh6094tbszcr" w:id="6"/>
      <w:bookmarkEnd w:id="6"/>
      <w:r w:rsidDel="00000000" w:rsidR="00000000" w:rsidRPr="00000000">
        <w:rPr>
          <w:rFonts w:ascii="Arial" w:cs="Arial" w:eastAsia="Arial" w:hAnsi="Arial"/>
          <w:rtl w:val="0"/>
        </w:rPr>
        <w:t xml:space="preserve">Mission Timeline and Exfiltration Plan</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The extraction window is defined by the scheduled completion of principal photography.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
        <w:tblW w:w="14000.0" w:type="dxa"/>
        <w:jc w:val="left"/>
        <w:tblBorders>
          <w:top w:color="303030" w:space="0" w:sz="18" w:val="single"/>
          <w:left w:color="000000" w:space="0" w:sz="0" w:val="nil"/>
          <w:bottom w:color="000000" w:space="0" w:sz="0" w:val="nil"/>
          <w:right w:color="000000" w:space="0" w:sz="0" w:val="nil"/>
          <w:insideH w:color="000000" w:space="0" w:sz="0" w:val="nil"/>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20" w:hRule="atLeast"/>
          <w:tblHeader w:val="1"/>
        </w:trPr>
        <w:tc>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Phase</w:t>
            </w:r>
          </w:p>
        </w:tc>
        <w:tc>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Target Date</w:t>
            </w:r>
          </w:p>
        </w:tc>
        <w:tc>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Location</w:t>
            </w:r>
          </w:p>
        </w:tc>
        <w:tc>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Status</w:t>
            </w:r>
          </w:p>
        </w:tc>
      </w:tr>
      <w:tr>
        <w:trPr>
          <w:cantSplit w:val="0"/>
          <w:trHeight w:val="720" w:hRule="atLeast"/>
          <w:tblHeader w:val="0"/>
        </w:trPr>
        <w:tc>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Principal Photography</w:t>
            </w:r>
          </w:p>
        </w:tc>
        <w:tc>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Date</w:t>
            </w:r>
            <w:r w:rsidDel="00000000" w:rsidR="00000000" w:rsidRPr="00000000">
              <w:rPr>
                <w:rtl w:val="0"/>
              </w:rPr>
            </w:r>
          </w:p>
        </w:tc>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Place</w:t>
            </w:r>
            <w:r w:rsidDel="00000000" w:rsidR="00000000" w:rsidRPr="00000000">
              <w:rPr>
                <w:rtl w:val="0"/>
              </w:rPr>
            </w:r>
          </w:p>
        </w:tc>
        <w:tc>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Ongoing</w:t>
            </w:r>
          </w:p>
        </w:tc>
      </w:tr>
      <w:tr>
        <w:trPr>
          <w:cantSplit w:val="0"/>
          <w:trHeight w:val="720" w:hRule="atLeast"/>
          <w:tblHeader w:val="0"/>
        </w:trPr>
        <w:tc>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Rescue/Extraction of Assets</w:t>
            </w:r>
          </w:p>
        </w:tc>
        <w:tc>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TBD (Post-climax)</w:t>
            </w:r>
          </w:p>
        </w:tc>
        <w:tc>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Staging Area Alpha</w:t>
            </w:r>
          </w:p>
        </w:tc>
        <w:tc>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Planning in progress</w:t>
            </w:r>
          </w:p>
        </w:tc>
      </w:tr>
      <w:tr>
        <w:trPr>
          <w:cantSplit w:val="0"/>
          <w:trHeight w:val="720" w:hRule="atLeast"/>
          <w:tblHeader w:val="0"/>
        </w:trPr>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Post-Production Briefing</w:t>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Date</w:t>
            </w:r>
            <w:r w:rsidDel="00000000" w:rsidR="00000000" w:rsidRPr="00000000">
              <w:rPr>
                <w:rtl w:val="0"/>
              </w:rPr>
            </w:r>
          </w:p>
        </w:tc>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Executive Office</w:t>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Scheduled</w:t>
            </w:r>
          </w:p>
        </w:tc>
      </w:tr>
    </w:tbl>
    <w:p w:rsidR="00000000" w:rsidDel="00000000" w:rsidP="00000000" w:rsidRDefault="00000000" w:rsidRPr="00000000" w14:paraId="00000049">
      <w:pPr>
        <w:pStyle w:val="Heading1"/>
        <w:rPr>
          <w:rFonts w:ascii="Arial" w:cs="Arial" w:eastAsia="Arial" w:hAnsi="Arial"/>
        </w:rPr>
      </w:pPr>
      <w:bookmarkStart w:colFirst="0" w:colLast="0" w:name="_twsk49cxv04o" w:id="7"/>
      <w:bookmarkEnd w:id="7"/>
      <w:r w:rsidDel="00000000" w:rsidR="00000000" w:rsidRPr="00000000">
        <w:rPr>
          <w:rFonts w:ascii="Arial" w:cs="Arial" w:eastAsia="Arial" w:hAnsi="Arial"/>
          <w:rtl w:val="0"/>
        </w:rPr>
        <w:t xml:space="preserve">Resource Allocation</w:t>
      </w:r>
    </w:p>
    <w:p w:rsidR="00000000" w:rsidDel="00000000" w:rsidP="00000000" w:rsidRDefault="00000000" w:rsidRPr="00000000" w14:paraId="0000004A">
      <w:pPr>
        <w:pStyle w:val="Heading2"/>
        <w:rPr>
          <w:rFonts w:ascii="Arial" w:cs="Arial" w:eastAsia="Arial" w:hAnsi="Arial"/>
        </w:rPr>
      </w:pPr>
      <w:bookmarkStart w:colFirst="0" w:colLast="0" w:name="_tkzakdx53z11" w:id="8"/>
      <w:bookmarkEnd w:id="8"/>
      <w:r w:rsidDel="00000000" w:rsidR="00000000" w:rsidRPr="00000000">
        <w:rPr>
          <w:rFonts w:ascii="Arial" w:cs="Arial" w:eastAsia="Arial" w:hAnsi="Arial"/>
          <w:rtl w:val="0"/>
        </w:rPr>
        <w:t xml:space="preserve">Essential Equipment</w:t>
      </w:r>
    </w:p>
    <w:p w:rsidR="00000000" w:rsidDel="00000000" w:rsidP="00000000" w:rsidRDefault="00000000" w:rsidRPr="00000000" w14:paraId="0000004B">
      <w:pPr>
        <w:numPr>
          <w:ilvl w:val="0"/>
          <w:numId w:val="2"/>
        </w:numPr>
        <w:ind w:left="720" w:hanging="360"/>
        <w:rPr/>
      </w:pPr>
      <w:r w:rsidDel="00000000" w:rsidR="00000000" w:rsidRPr="00000000">
        <w:rPr>
          <w:rFonts w:ascii="Arial" w:cs="Arial" w:eastAsia="Arial" w:hAnsi="Arial"/>
          <w:rtl w:val="0"/>
        </w:rPr>
        <w:t xml:space="preserve">One (1) functional camera unit (Status: Unknown)</w:t>
      </w:r>
    </w:p>
    <w:p w:rsidR="00000000" w:rsidDel="00000000" w:rsidP="00000000" w:rsidRDefault="00000000" w:rsidRPr="00000000" w14:paraId="0000004C">
      <w:pPr>
        <w:numPr>
          <w:ilvl w:val="0"/>
          <w:numId w:val="2"/>
        </w:numPr>
        <w:ind w:left="720" w:hanging="360"/>
        <w:rPr/>
      </w:pPr>
      <w:r w:rsidDel="00000000" w:rsidR="00000000" w:rsidRPr="00000000">
        <w:rPr>
          <w:rFonts w:ascii="Arial" w:cs="Arial" w:eastAsia="Arial" w:hAnsi="Arial"/>
          <w:rtl w:val="0"/>
        </w:rPr>
        <w:t xml:space="preserve">Four (4) crates of explosive squibs</w:t>
      </w:r>
    </w:p>
    <w:p w:rsidR="00000000" w:rsidDel="00000000" w:rsidP="00000000" w:rsidRDefault="00000000" w:rsidRPr="00000000" w14:paraId="0000004D">
      <w:pPr>
        <w:numPr>
          <w:ilvl w:val="0"/>
          <w:numId w:val="2"/>
        </w:numPr>
        <w:ind w:left="720" w:hanging="360"/>
        <w:rPr/>
      </w:pPr>
      <w:r w:rsidDel="00000000" w:rsidR="00000000" w:rsidRPr="00000000">
        <w:rPr>
          <w:rFonts w:ascii="Arial" w:cs="Arial" w:eastAsia="Arial" w:hAnsi="Arial"/>
          <w:rtl w:val="0"/>
        </w:rPr>
        <w:t xml:space="preserve">Ten (10) gallons of synthetic blood</w:t>
      </w:r>
    </w:p>
    <w:p w:rsidR="00000000" w:rsidDel="00000000" w:rsidP="00000000" w:rsidRDefault="00000000" w:rsidRPr="00000000" w14:paraId="0000004E">
      <w:pPr>
        <w:numPr>
          <w:ilvl w:val="0"/>
          <w:numId w:val="2"/>
        </w:numPr>
        <w:ind w:left="720" w:hanging="360"/>
        <w:rPr/>
      </w:pPr>
      <w:r w:rsidDel="00000000" w:rsidR="00000000" w:rsidRPr="00000000">
        <w:rPr>
          <w:rFonts w:ascii="Arial" w:cs="Arial" w:eastAsia="Arial" w:hAnsi="Arial"/>
          <w:rtl w:val="0"/>
        </w:rPr>
        <w:t xml:space="preserve">File</w:t>
      </w:r>
      <w:r w:rsidDel="00000000" w:rsidR="00000000" w:rsidRPr="00000000">
        <w:rPr>
          <w:rFonts w:ascii="Arial" w:cs="Arial" w:eastAsia="Arial" w:hAnsi="Arial"/>
          <w:rtl w:val="0"/>
        </w:rPr>
        <w:t xml:space="preserve"> (Detailed map of the jungle set)</w:t>
      </w:r>
    </w:p>
    <w:p w:rsidR="00000000" w:rsidDel="00000000" w:rsidP="00000000" w:rsidRDefault="00000000" w:rsidRPr="00000000" w14:paraId="0000004F">
      <w:pPr>
        <w:numPr>
          <w:ilvl w:val="0"/>
          <w:numId w:val="2"/>
        </w:numPr>
        <w:ind w:left="720" w:hanging="360"/>
        <w:rPr/>
      </w:pPr>
      <w:r w:rsidDel="00000000" w:rsidR="00000000" w:rsidRPr="00000000">
        <w:rPr>
          <w:rFonts w:ascii="Arial" w:cs="Arial" w:eastAsia="Arial" w:hAnsi="Arial"/>
          <w:rtl w:val="0"/>
        </w:rPr>
        <w:t xml:space="preserve">File</w:t>
      </w:r>
      <w:r w:rsidDel="00000000" w:rsidR="00000000" w:rsidRPr="00000000">
        <w:rPr>
          <w:rFonts w:ascii="Arial" w:cs="Arial" w:eastAsia="Arial" w:hAnsi="Arial"/>
          <w:rtl w:val="0"/>
        </w:rPr>
        <w:t xml:space="preserve"> (Script-deviation log)</w:t>
      </w:r>
    </w:p>
    <w:p w:rsidR="00000000" w:rsidDel="00000000" w:rsidP="00000000" w:rsidRDefault="00000000" w:rsidRPr="00000000" w14:paraId="00000050">
      <w:pPr>
        <w:pStyle w:val="Heading2"/>
        <w:rPr>
          <w:rFonts w:ascii="Arial" w:cs="Arial" w:eastAsia="Arial" w:hAnsi="Arial"/>
        </w:rPr>
      </w:pPr>
      <w:bookmarkStart w:colFirst="0" w:colLast="0" w:name="_9b4x504ok2pj" w:id="9"/>
      <w:bookmarkEnd w:id="9"/>
      <w:r w:rsidDel="00000000" w:rsidR="00000000" w:rsidRPr="00000000">
        <w:rPr>
          <w:rFonts w:ascii="Arial" w:cs="Arial" w:eastAsia="Arial" w:hAnsi="Arial"/>
          <w:rtl w:val="0"/>
        </w:rPr>
        <w:t xml:space="preserve">Critical Events</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A mandatory coordination meeting has been scheduled to address the escalating situation regarding the captured assets and the intervention by the agent known as "Cody."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Critical Coordination Meeting: </w:t>
      </w:r>
      <w:r w:rsidDel="00000000" w:rsidR="00000000" w:rsidRPr="00000000">
        <w:rPr>
          <w:rFonts w:ascii="Arial" w:cs="Arial" w:eastAsia="Arial" w:hAnsi="Arial"/>
          <w:rtl w:val="0"/>
        </w:rPr>
        <w:t xml:space="preserve">Calendar event</w:t>
      </w:r>
      <w:r w:rsidDel="00000000" w:rsidR="00000000" w:rsidRPr="00000000">
        <w:rPr>
          <w:rFonts w:ascii="Arial" w:cs="Arial" w:eastAsia="Arial" w:hAnsi="Arial"/>
          <w:rtl w:val="0"/>
        </w:rPr>
        <w:t xml:space="preserv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ton">
    <w:embedRegular w:fontKey="{00000000-0000-0000-0000-000000000000}" r:id="rId1" w:subsetted="0"/>
  </w:font>
  <w:font w:name="DM Sans SemiBold">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DM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color w:val="ff0000"/>
      </w:rPr>
    </w:pPr>
    <w:r w:rsidDel="00000000" w:rsidR="00000000" w:rsidRPr="00000000">
      <w:rPr>
        <w:color w:val="ff0000"/>
        <w:rtl w:val="0"/>
      </w:rPr>
      <w:t xml:space="preserve">SECRET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color w:val="ff0000"/>
      </w:rPr>
    </w:pPr>
    <w:r w:rsidDel="00000000" w:rsidR="00000000" w:rsidRPr="00000000">
      <w:rPr>
        <w:color w:val="ff0000"/>
        <w:rtl w:val="0"/>
      </w:rPr>
      <w:t xml:space="preserve">SECRET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Anton" w:cs="Anton" w:eastAsia="Anton" w:hAnsi="Anton"/>
      <w:b w:val="1"/>
      <w:bCs w:val="1"/>
      <w:color w:val="1f1f1f"/>
      <w:sz w:val="68"/>
      <w:szCs w:val="68"/>
    </w:rPr>
  </w:style>
  <w:style w:type="paragraph" w:styleId="Heading2">
    <w:name w:val="heading 2"/>
    <w:basedOn w:val="Normal"/>
    <w:next w:val="Normal"/>
    <w:pPr>
      <w:keepNext w:val="1"/>
      <w:keepLines w:val="1"/>
      <w:pageBreakBefore w:val="0"/>
      <w:spacing w:after="80" w:before="360" w:lineRule="auto"/>
    </w:pPr>
    <w:rPr>
      <w:rFonts w:ascii="DM Sans" w:cs="DM Sans" w:eastAsia="DM Sans" w:hAnsi="DM Sans"/>
      <w:b w:val="1"/>
      <w:bCs w:val="1"/>
      <w:color w:val="1f1f1f"/>
      <w:sz w:val="48"/>
      <w:szCs w:val="48"/>
    </w:rPr>
  </w:style>
  <w:style w:type="paragraph" w:styleId="Heading3">
    <w:name w:val="heading 3"/>
    <w:basedOn w:val="Normal"/>
    <w:next w:val="Normal"/>
    <w:pPr>
      <w:keepNext w:val="1"/>
      <w:keepLines w:val="1"/>
      <w:pageBreakBefore w:val="0"/>
      <w:spacing w:after="80" w:before="280" w:lineRule="auto"/>
    </w:pPr>
    <w:rPr>
      <w:rFonts w:ascii="DM Sans" w:cs="DM Sans" w:eastAsia="DM Sans" w:hAnsi="DM Sans"/>
      <w:b w:val="1"/>
      <w:bCs w:val="1"/>
      <w:color w:val="1f1f1f"/>
      <w:sz w:val="32"/>
      <w:szCs w:val="32"/>
    </w:rPr>
  </w:style>
  <w:style w:type="paragraph" w:styleId="Heading4">
    <w:name w:val="heading 4"/>
    <w:basedOn w:val="Normal"/>
    <w:next w:val="Normal"/>
    <w:pPr>
      <w:keepNext w:val="1"/>
      <w:keepLines w:val="1"/>
      <w:pageBreakBefore w:val="0"/>
      <w:spacing w:after="40" w:before="240" w:lineRule="auto"/>
    </w:pPr>
    <w:rPr>
      <w:rFonts w:ascii="DM Sans SemiBold" w:cs="DM Sans SemiBold" w:eastAsia="DM Sans SemiBold" w:hAnsi="DM Sans SemiBold"/>
      <w:b w:val="1"/>
      <w:bCs w:val="1"/>
      <w:color w:val="1f1f1f"/>
      <w:sz w:val="28"/>
      <w:szCs w:val="28"/>
    </w:rPr>
  </w:style>
  <w:style w:type="paragraph" w:styleId="Heading5">
    <w:name w:val="heading 5"/>
    <w:basedOn w:val="Normal"/>
    <w:next w:val="Normal"/>
    <w:pPr>
      <w:keepNext w:val="1"/>
      <w:keepLines w:val="1"/>
      <w:pageBreakBefore w:val="0"/>
      <w:spacing w:after="40" w:before="220" w:lineRule="auto"/>
    </w:pPr>
    <w:rPr>
      <w:rFonts w:ascii="DM Sans SemiBold" w:cs="DM Sans SemiBold" w:eastAsia="DM Sans SemiBold" w:hAnsi="DM Sans SemiBold"/>
      <w:b w:val="1"/>
      <w:bCs w:val="1"/>
      <w:color w:val="1f1f1f"/>
      <w:sz w:val="24"/>
      <w:szCs w:val="24"/>
    </w:rPr>
  </w:style>
  <w:style w:type="paragraph" w:styleId="Heading6">
    <w:name w:val="heading 6"/>
    <w:basedOn w:val="Normal"/>
    <w:next w:val="Normal"/>
    <w:pPr>
      <w:keepNext w:val="1"/>
      <w:keepLines w:val="1"/>
      <w:pageBreakBefore w:val="0"/>
      <w:spacing w:after="40" w:before="200" w:lineRule="auto"/>
    </w:pPr>
    <w:rPr>
      <w:rFonts w:ascii="DM Sans" w:cs="DM Sans" w:eastAsia="DM Sans" w:hAnsi="DM Sans"/>
      <w:b w:val="1"/>
      <w:bCs w:val="1"/>
      <w:i w:val="1"/>
      <w:iCs w:val="1"/>
      <w:color w:val="1f1f1f"/>
      <w:sz w:val="24"/>
      <w:szCs w:val="24"/>
    </w:rPr>
  </w:style>
  <w:style w:type="paragraph" w:styleId="Title">
    <w:name w:val="Title"/>
    <w:basedOn w:val="Normal"/>
    <w:next w:val="Normal"/>
    <w:pPr>
      <w:keepNext w:val="1"/>
      <w:keepLines w:val="1"/>
      <w:pageBreakBefore w:val="0"/>
      <w:spacing w:after="120" w:before="480" w:lineRule="auto"/>
    </w:pPr>
    <w:rPr>
      <w:rFonts w:ascii="Anton" w:cs="Anton" w:eastAsia="Anton" w:hAnsi="Anton"/>
      <w:b w:val="1"/>
      <w:bCs w:val="1"/>
      <w:color w:val="1f1f1f"/>
      <w:sz w:val="96"/>
      <w:szCs w:val="96"/>
    </w:rPr>
  </w:style>
  <w:style w:type="paragraph" w:styleId="Subtitle">
    <w:name w:val="Subtitle"/>
    <w:basedOn w:val="Normal"/>
    <w:next w:val="Normal"/>
    <w:pPr>
      <w:keepNext w:val="1"/>
      <w:keepLines w:val="1"/>
      <w:pageBreakBefore w:val="0"/>
      <w:spacing w:after="80" w:before="360" w:lineRule="auto"/>
    </w:pPr>
    <w:rPr>
      <w:rFonts w:ascii="Anton" w:cs="Anton" w:eastAsia="Anton" w:hAnsi="Anton"/>
      <w:i w:val="1"/>
      <w:iCs w:val="1"/>
      <w:color w:val="1f1f1f"/>
      <w:sz w:val="48"/>
      <w:szCs w:val="48"/>
    </w:rPr>
  </w:style>
  <w:style w:type="table" w:styleId="Table1">
    <w:basedOn w:val="TableNormal"/>
    <w:tblPr>
      <w:tblStyleRowBandSize w:val="1"/>
      <w:tblStyleColBandSize w:val="1"/>
      <w:tblCellMar>
        <w:top w:w="243.35999999999999" w:type="dxa"/>
        <w:left w:w="243.35999999999999" w:type="dxa"/>
        <w:bottom w:w="243.35999999999999" w:type="dxa"/>
        <w:right w:w="243.35999999999999" w:type="dxa"/>
      </w:tblCellMar>
    </w:tblPr>
    <w:tblStylePr w:type="firstRow">
      <w:rPr>
        <w:rFonts w:ascii="DM Sans SemiBold" w:cs="DM Sans SemiBold" w:eastAsia="DM Sans SemiBold" w:hAnsi="DM Sans SemiBold"/>
        <w:color w:val="1f1f1f"/>
        <w:sz w:val="24"/>
        <w:szCs w:val="24"/>
      </w:rPr>
      <w:tcPr>
        <w:tcBorders>
          <w:top w:color="000000" w:space="0" w:sz="0" w:val="nil"/>
          <w:bottom w:color="303030" w:space="0" w:sz="18" w:val="single"/>
        </w:tcBorders>
      </w:tcPr>
    </w:tblStylePr>
  </w:style>
  <w:style w:type="table" w:styleId="Table2">
    <w:basedOn w:val="TableNormal"/>
    <w:tblPr>
      <w:tblStyleRowBandSize w:val="1"/>
      <w:tblStyleColBandSize w:val="1"/>
      <w:tblCellMar>
        <w:top w:w="243.35999999999999" w:type="dxa"/>
        <w:left w:w="243.35999999999999" w:type="dxa"/>
        <w:bottom w:w="243.35999999999999" w:type="dxa"/>
        <w:right w:w="243.35999999999999" w:type="dxa"/>
      </w:tblCellMar>
    </w:tblPr>
    <w:tblStylePr w:type="firstRow">
      <w:rPr>
        <w:rFonts w:ascii="DM Sans SemiBold" w:cs="DM Sans SemiBold" w:eastAsia="DM Sans SemiBold" w:hAnsi="DM Sans SemiBold"/>
        <w:color w:val="1f1f1f"/>
        <w:sz w:val="24"/>
        <w:szCs w:val="24"/>
      </w:rPr>
      <w:tcPr>
        <w:tcBorders>
          <w:top w:color="000000" w:space="0" w:sz="0" w:val="nil"/>
          <w:bottom w:color="303030" w:space="0" w:sz="18" w:val="single"/>
        </w:tcBorders>
      </w:tcPr>
    </w:tblStylePr>
  </w:style>
  <w:style w:type="table" w:styleId="Table3">
    <w:basedOn w:val="TableNormal"/>
    <w:tblPr>
      <w:tblStyleRowBandSize w:val="1"/>
      <w:tblStyleColBandSize w:val="1"/>
      <w:tblCellMar>
        <w:top w:w="243.35999999999999" w:type="dxa"/>
        <w:left w:w="243.35999999999999" w:type="dxa"/>
        <w:bottom w:w="243.35999999999999" w:type="dxa"/>
        <w:right w:w="243.35999999999999" w:type="dxa"/>
      </w:tblCellMar>
    </w:tblPr>
    <w:tblStylePr w:type="firstRow">
      <w:rPr>
        <w:rFonts w:ascii="DM Sans SemiBold" w:cs="DM Sans SemiBold" w:eastAsia="DM Sans SemiBold" w:hAnsi="DM Sans SemiBold"/>
        <w:color w:val="1f1f1f"/>
        <w:sz w:val="24"/>
        <w:szCs w:val="24"/>
      </w:rPr>
      <w:tcPr>
        <w:tcBorders>
          <w:top w:color="000000" w:space="0" w:sz="0" w:val="nil"/>
          <w:bottom w:color="303030" w:space="0" w:sz="1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ton-regular.ttf"/><Relationship Id="rId2" Type="http://schemas.openxmlformats.org/officeDocument/2006/relationships/font" Target="fonts/DMSansSemiBold-regular.ttf"/><Relationship Id="rId3" Type="http://schemas.openxmlformats.org/officeDocument/2006/relationships/font" Target="fonts/DMSansSemiBold-bold.ttf"/><Relationship Id="rId4" Type="http://schemas.openxmlformats.org/officeDocument/2006/relationships/font" Target="fonts/DMSansSemiBold-italic.ttf"/><Relationship Id="rId9" Type="http://schemas.openxmlformats.org/officeDocument/2006/relationships/font" Target="fonts/DMSans-boldItalic.ttf"/><Relationship Id="rId5" Type="http://schemas.openxmlformats.org/officeDocument/2006/relationships/font" Target="fonts/DMSansSemiBold-boldItalic.ttf"/><Relationship Id="rId6" Type="http://schemas.openxmlformats.org/officeDocument/2006/relationships/font" Target="fonts/DMSans-regular.ttf"/><Relationship Id="rId7" Type="http://schemas.openxmlformats.org/officeDocument/2006/relationships/font" Target="fonts/DMSans-bold.ttf"/><Relationship Id="rId8" Type="http://schemas.openxmlformats.org/officeDocument/2006/relationships/font" Target="fonts/DM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