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dcou4z0kw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Medical Insurance Cost Analysis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Robert Garavente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Data Analyst, HealthMetrics Analytics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o0dgmnojp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presents a comprehensive end-to-end workflow for a medical insurance cost dataset. The objective was to transform raw data into a production-ready </w:t>
      </w:r>
      <w:r w:rsidDel="00000000" w:rsidR="00000000" w:rsidRPr="00000000">
        <w:rPr>
          <w:b w:val="1"/>
          <w:bCs w:val="1"/>
          <w:rtl w:val="0"/>
        </w:rPr>
        <w:t xml:space="preserve">SQL environment</w:t>
      </w:r>
      <w:r w:rsidDel="00000000" w:rsidR="00000000" w:rsidRPr="00000000">
        <w:rPr>
          <w:rtl w:val="0"/>
        </w:rPr>
        <w:t xml:space="preserve">, identify key cost drivers through </w:t>
      </w:r>
      <w:r w:rsidDel="00000000" w:rsidR="00000000" w:rsidRPr="00000000">
        <w:rPr>
          <w:b w:val="1"/>
          <w:bCs w:val="1"/>
          <w:rtl w:val="0"/>
        </w:rPr>
        <w:t xml:space="preserve">EDA</w:t>
      </w:r>
      <w:r w:rsidDel="00000000" w:rsidR="00000000" w:rsidRPr="00000000">
        <w:rPr>
          <w:rtl w:val="0"/>
        </w:rPr>
        <w:t xml:space="preserve">, and develop a robust </w:t>
      </w:r>
      <w:r w:rsidDel="00000000" w:rsidR="00000000" w:rsidRPr="00000000">
        <w:rPr>
          <w:b w:val="1"/>
          <w:bCs w:val="1"/>
          <w:rtl w:val="0"/>
        </w:rPr>
        <w:t xml:space="preserve">predictive model</w:t>
      </w:r>
      <w:r w:rsidDel="00000000" w:rsidR="00000000" w:rsidRPr="00000000">
        <w:rPr>
          <w:rtl w:val="0"/>
        </w:rPr>
        <w:t xml:space="preserve">. Smoking status emerged as the dominant predictor of medical costs, followed by age and BMI. The final deliverable includes an augmented dataset, a validated SQL schema, and a Random Forest model achieving a high-performance </w:t>
      </w:r>
      <w:r w:rsidDel="00000000" w:rsidR="00000000" w:rsidRPr="00000000">
        <w:rPr>
          <w:b w:val="1"/>
          <w:bCs w:val="1"/>
          <w:rtl w:val="0"/>
        </w:rPr>
        <w:t xml:space="preserve">R-squared of 0.85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9ueptlob6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Engineering &amp; SQL Infrastructure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analysis, I established a structured environment to ensure data integrity.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Schema Design:</w:t>
      </w:r>
      <w:r w:rsidDel="00000000" w:rsidR="00000000" w:rsidRPr="00000000">
        <w:rPr>
          <w:rtl w:val="0"/>
        </w:rPr>
        <w:t xml:space="preserve"> Defined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insurance_data</w:t>
      </w:r>
      <w:r w:rsidDel="00000000" w:rsidR="00000000" w:rsidRPr="00000000">
        <w:rPr>
          <w:rtl w:val="0"/>
        </w:rPr>
        <w:t xml:space="preserve"> table using optimized data types.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Insight:</w:t>
      </w:r>
      <w:r w:rsidDel="00000000" w:rsidR="00000000" w:rsidRPr="00000000">
        <w:rPr>
          <w:rtl w:val="0"/>
        </w:rPr>
        <w:t xml:space="preserve"> Moving data to a relational structure allows for high-speed business intelligence queries and ensures that risk segments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combined_health_status</w:t>
      </w:r>
      <w:r w:rsidDel="00000000" w:rsidR="00000000" w:rsidRPr="00000000">
        <w:rPr>
          <w:rtl w:val="0"/>
        </w:rPr>
        <w:t xml:space="preserve"> are pre-calculated.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oh5k0vwtuf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Schema Definition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insurance_data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"/>
        <w:tblpPr w:leftFromText="180" w:rightFromText="180" w:topFromText="180" w:bottomFromText="180" w:vertAnchor="text" w:horzAnchor="text" w:tblpX="-150" w:tblpY="0"/>
        <w:tblW w:w="1108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880"/>
        <w:gridCol w:w="5328.000000000001"/>
        <w:tblGridChange w:id="0">
          <w:tblGrid>
            <w:gridCol w:w="2880"/>
            <w:gridCol w:w="2880"/>
            <w:gridCol w:w="5328.000000000001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D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E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F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0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Unique identifier for each record.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3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4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Patient age.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5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6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7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Patient gender (male/female).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8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9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A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Body Mass Index.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B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C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D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Number of dependents.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E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smoker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F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0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Smoking status (yes/no).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3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Geographic region.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4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total_charges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5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6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Raw medical insurance cost (The target).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7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log_charges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8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9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Log-transformed charges for model stability.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A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smoker_binary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B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C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Binary flag (1 for smoker, 0 for non-smoker).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D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bmi_category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E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F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Categorical BMI (Underweight, Normal, etc.).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0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combined_health_status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Risk tiering (Low, Medium, High Risk).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3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age_smoker_interaction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4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5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Interaction term for predictive accuracy.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ind w:left="0" w:firstLine="0"/>
        <w:rPr>
          <w:sz w:val="22"/>
          <w:szCs w:val="22"/>
        </w:rPr>
      </w:pPr>
      <w:bookmarkStart w:colFirst="0" w:colLast="0" w:name="_1lsfeau0hnt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9fs5ut53jlq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81kmzkyc1x1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bfuylhfuge2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q9q3l0oaw2t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lh414h1r72a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es9kudpo0n7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jd23xdngqb6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7ifcq5oakpu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3b82ofyds1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74o2gp20dax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cgr5nhy284z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s1pzkv422yr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ind w:left="0" w:firstLine="0"/>
        <w:rPr/>
      </w:pPr>
      <w:bookmarkStart w:colFirst="0" w:colLast="0" w:name="_bxq7qwsbgwu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8ioo317ld7h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h6fd67dwv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Phase I: Exploratory Data Analysis (EDA)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Investigation of the "what" and "why" of the existing data.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dsnbji6uv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Distribution &amp; Normalization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1: Raw Distribution Histogram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1144" cy="212471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124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Reveals a heavy "right-skew." Most patients have low costs, but a few "super-utilizers" create a tail reaching over 50,000.</w:t>
        <w:tab/>
        <w:tab/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2: Log-Transformed Distribution Histogram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1144" cy="212471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124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Proves the target variable has been successfully normalized into a bell curve, satisfying the mathematical assumptions for the regression models.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mws8tqid9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 Drivers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3: Average Charges by Smoker (Bar Plot)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89704" cy="350962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704" cy="3509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Shows the "Smoking Penalty"—smokers cost roughly 32,000 on average vs. 8,400 for non-smokers.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4: Impact of Smoking (Log Boxplot)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1144" cy="294053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940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Using a log scale reveals the massive separation in cost. Smokers have a significantly higher median and "cost floor" than non-smokers.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20hng0wglu6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Geographic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5: Regional Cost Outliers (Boxplot)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64024" cy="300555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3005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Highlights that while median costs are similar across regions, the </w:t>
      </w:r>
      <w:r w:rsidDel="00000000" w:rsidR="00000000" w:rsidRPr="00000000">
        <w:rPr>
          <w:b w:val="1"/>
          <w:bCs w:val="1"/>
          <w:rtl w:val="0"/>
        </w:rPr>
        <w:t xml:space="preserve">Southeast</w:t>
      </w:r>
      <w:r w:rsidDel="00000000" w:rsidR="00000000" w:rsidRPr="00000000">
        <w:rPr>
          <w:rtl w:val="0"/>
        </w:rPr>
        <w:t xml:space="preserve"> has the highest density of extreme cost outliers.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urvwd6jy1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Phase II: Predictive Modeling &amp; Statistical Analysis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Forecast charges using statistical and machine learning engines.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e7p0aerw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Significance &amp; Correlation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6: Correlation Heatmap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64024" cy="27875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278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Statistically confirms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smoker_binary</w:t>
      </w:r>
      <w:r w:rsidDel="00000000" w:rsidR="00000000" w:rsidRPr="00000000">
        <w:rPr>
          <w:rtl w:val="0"/>
        </w:rPr>
        <w:t xml:space="preserve"> is the strongest predictor,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bmi</w:t>
      </w:r>
      <w:r w:rsidDel="00000000" w:rsidR="00000000" w:rsidRPr="00000000">
        <w:rPr>
          <w:rtl w:val="0"/>
        </w:rPr>
        <w:t xml:space="preserve">.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7: Age-Smoker Interaction (Scatter Plot)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64024" cy="279022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2790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Reveals the "Three-Band" phenomenon, showing that smoking acts as a multiplier of age, creating distinct "pricing lanes" for different risk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b3r9w8zsd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Performance &amp; Diagnostics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8: Random Forest Feature Importance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</w:rPr>
        <w:drawing>
          <wp:inline distB="114300" distT="114300" distL="114300" distR="114300">
            <wp:extent cx="4764024" cy="2117344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2117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Ranks Smoker status, BMI, and Age as the three most critical inputs for predicting future costs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9: Residual Diagnostic Plot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764024" cy="304143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304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Proves the model is unbiased. The random scatter around the zero line indicates the model's errors are not systematic.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augg7zbws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Strategic Recommendations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Health Incentives:</w:t>
      </w:r>
      <w:r w:rsidDel="00000000" w:rsidR="00000000" w:rsidRPr="00000000">
        <w:rPr>
          <w:rtl w:val="0"/>
        </w:rPr>
        <w:t xml:space="preserve"> Since smoking is the primary driver of cost (Figure 8), smoking cessation programs offer the highest ROI for claim reduction.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Risk Stratification:</w:t>
      </w:r>
      <w:r w:rsidDel="00000000" w:rsidR="00000000" w:rsidRPr="00000000">
        <w:rPr>
          <w:rtl w:val="0"/>
        </w:rPr>
        <w:t xml:space="preserve"> The implementation of health-status tiering provides a framework for proactive risk management. This allows the organization to transition from reactive claims processing to a preventative care model by identifying high-risk populations before they incur extreme costs.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Resource Allocation:</w:t>
      </w:r>
      <w:r w:rsidDel="00000000" w:rsidR="00000000" w:rsidRPr="00000000">
        <w:rPr>
          <w:rtl w:val="0"/>
        </w:rPr>
        <w:t xml:space="preserve"> Direct preventative care resources specifically to the Southeast region to address the higher concentration of high-cost outliers identified in Figure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zf7od7clu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Augmented 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medical_costs_for_insurance_final.csv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Asset:</w:t>
      </w:r>
      <w:r w:rsidDel="00000000" w:rsidR="00000000" w:rsidRPr="00000000">
        <w:rPr>
          <w:rtl w:val="0"/>
        </w:rPr>
        <w:t xml:space="preserve"> Validated SQL Schema.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Optimized Model:</w:t>
      </w:r>
      <w:r w:rsidDel="00000000" w:rsidR="00000000" w:rsidRPr="00000000">
        <w:rPr>
          <w:rtl w:val="0"/>
        </w:rPr>
        <w:t xml:space="preserve"> Random Forest Regressor (</w:t>
      </w:r>
      <w:r w:rsidDel="00000000" w:rsidR="00000000" w:rsidRPr="00000000">
        <w:rPr>
          <w:b w:val="1"/>
          <w:bCs w:val="1"/>
          <w:rtl w:val="0"/>
        </w:rPr>
        <w:t xml:space="preserve">R-squared of 0.85</w:t>
      </w:r>
      <w:r w:rsidDel="00000000" w:rsidR="00000000" w:rsidRPr="00000000">
        <w:rPr>
          <w:rtl w:val="0"/>
        </w:rPr>
        <w:t xml:space="preserve">).</w:t>
      </w:r>
    </w:p>
    <w:sectPr>
      <w:headerReference r:id="rId15" w:type="first"/>
      <w:footerReference r:id="rId16" w:type="default"/>
      <w:footerReference r:id="rId17" w:type="first"/>
      <w:pgSz w:h="15840" w:w="12240" w:orient="portrait"/>
      <w:pgMar w:bottom="288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Style w:val="Heading1"/>
      <w:keepNext w:val="0"/>
      <w:keepLines w:val="0"/>
      <w:spacing w:before="480" w:lineRule="auto"/>
      <w:rPr>
        <w:sz w:val="16"/>
        <w:szCs w:val="16"/>
      </w:rPr>
    </w:pPr>
    <w:bookmarkStart w:colFirst="0" w:colLast="0" w:name="_cb5z9dtjovcp" w:id="28"/>
    <w:bookmarkEnd w:id="28"/>
    <w:r w:rsidDel="00000000" w:rsidR="00000000" w:rsidRPr="00000000">
      <w:rPr>
        <w:b w:val="1"/>
        <w:bCs w:val="1"/>
        <w:sz w:val="22"/>
        <w:szCs w:val="22"/>
        <w:rtl w:val="0"/>
      </w:rPr>
      <w:t xml:space="preserve">Medical Insurance Cost Analysis Report</w:t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left"/>
      <w:rPr/>
    </w:pPr>
    <w:r w:rsidDel="00000000" w:rsidR="00000000" w:rsidRPr="00000000">
      <w:rPr>
        <w:rtl w:val="0"/>
      </w:rPr>
      <w:t xml:space="preserve">Medical Insurance Cost Analysis Report </w:t>
      <w:tab/>
      <w:tab/>
      <w:tab/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9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