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automated audit of PNC and force intelligence system access has identified that PC 5190 conducted three separate checks on an individual named as the new partner of PC 5190's former spouse, on 11, 15 and 20 August 2026. None of the checks are linked to a crime report, incident log, or other recorded policing purpose. The subject of the checks has not been contacted and is unaware the searches took place. This pattern was flagged by the automated audit tool rather than a colleague or complaint, and no further detail is currently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