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JAPAN - INDONESIA JOINT CALL FOR PROPOSALS on “BIOENERGY”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JST - BRIN NEXUS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Supporting Annexes: Figures, Equations, Implementation Schedule, Research Roadmap, Budget Proposal, and Detailed Budget Plan (RAB)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Proton-Selective Fluorine-Free Composite Membranes for Microbial Electrolysis Cells: Converting Organic Waste into High-Purity Biohydrogen</w:t>
      </w:r>
    </w:p>
    <w:p>
      <w:pPr>
        <w:pBdr>
          <w:bottom w:val="single" w:color="1F3864" w:sz="12" w:space="6"/>
        </w:pBdr>
        <w:spacing w:after="120"/>
      </w:pP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This document collects the illustrations, governing equations, and the four detailed planning sections (implementation schedule, research roadmap, budget proposal, and detailed budget plan) that support the Joint Application Form (Nexus_Indonesia_Form2026). The tables and figures are consistent with Parts III-V of the form. Equations are reproduced from the source membrane study (J. Membr. Sci. 540 (2017) 165-173).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 Concept, Working Principle, and Governing Equations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1.1  Graphical abstract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joint concept couples molecular dynamics on the Japan side with membrane fabrication and microbial-electrolysis-cell (MEC) experiments on the Indonesia side. The Japanese team simulates proton and cation transport through the SPAES coarse-grained membrane; the Indonesian team fabricates the SPAES/PIN composite and demonstrates biohydrogen production in the MEC. Predictions and measurements are exchanged in a closed loop.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[ IMAGE PLACEHOLDER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20"/>
                <w:szCs w:val="20"/>
              </w:rPr>
              <w:t xml:space="preserve">Figure 1. Combined graphical abstract - Japan side (molecular dynamics simulation; SPAES coarse-grained membrane) and Indonesia side (MEC experimental setup and SPAES/PIN fabrication) feeding the MEC reaction. Source of membrane concept: doi.org/10.1016/j.memsci.2017.06.048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7F6000"/>
                <w:sz w:val="18"/>
                <w:szCs w:val="18"/>
              </w:rPr>
              <w:t xml:space="preserve">Drop image file here: Proposal/Nexus/images/01_graphical_abstract.png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1. Graphical abstract of the joint research.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1.2  Working principle of the MEC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In the microbial electrolysis cell, exoelectrogenic bacteria at the anode oxidise the organic substrate to protons, electrons, and carbon dioxide. With a small applied voltage (about 1 V shown), electrons reach the cathode through the external circuit and protons migrate across the SPAES/PIN membrane, recombining at the cathode to form hydrogen. Competing cations (Na⁺, K⁺) also cross the membrane and must be rejected relative to protons. The half-reactions are: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[ IMAGE PLACEHOLDER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20"/>
                <w:szCs w:val="20"/>
              </w:rPr>
              <w:t xml:space="preserve">Figure 2. MEC working principle at 1 V: anode (substrate → CO2 + H+), cathode (2H2O → H2 + OH-), reference electrodes, and transport of H+ vs Na+/K+ across the SPAES/PIN membrane.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7F6000"/>
                <w:sz w:val="18"/>
                <w:szCs w:val="18"/>
              </w:rPr>
              <w:t xml:space="preserve">Drop image file here: Proposal/Nexus/images/02_mec_reaction.png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2. Reaction scheme and selective proton transport across the SPAES/PIN membrane.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Anode:  CH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3</w:t>
      </w:r>
      <w:r>
        <w:rPr>
          <w:rFonts w:ascii="Calibri" w:cs="Calibri" w:eastAsia="Calibri" w:hAnsi="Calibri"/>
          <w:sz w:val="21"/>
          <w:szCs w:val="21"/>
        </w:rPr>
        <w:t xml:space="preserve">COOH + 2H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sz w:val="21"/>
          <w:szCs w:val="21"/>
        </w:rPr>
        <w:t xml:space="preserve">O → 2CO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sz w:val="21"/>
          <w:szCs w:val="21"/>
        </w:rPr>
        <w:t xml:space="preserve"> + 8H</w:t>
      </w:r>
      <w:r>
        <w:rPr>
          <w:rFonts w:ascii="Calibri" w:cs="Calibri" w:eastAsia="Calibri" w:hAnsi="Calibri"/>
          <w:sz w:val="21"/>
          <w:szCs w:val="21"/>
          <w:vertAlign w:val="superscript"/>
        </w:rPr>
        <w:t xml:space="preserve">+</w:t>
      </w:r>
      <w:r>
        <w:rPr>
          <w:rFonts w:ascii="Calibri" w:cs="Calibri" w:eastAsia="Calibri" w:hAnsi="Calibri"/>
          <w:sz w:val="21"/>
          <w:szCs w:val="21"/>
        </w:rPr>
        <w:t xml:space="preserve"> + 8e</w:t>
      </w:r>
      <w:r>
        <w:rPr>
          <w:rFonts w:ascii="Calibri" w:cs="Calibri" w:eastAsia="Calibri" w:hAnsi="Calibri"/>
          <w:sz w:val="21"/>
          <w:szCs w:val="21"/>
          <w:vertAlign w:val="superscript"/>
        </w:rPr>
        <w:t xml:space="preserve">−</w:t>
      </w:r>
      <w:r>
        <w:rPr>
          <w:rFonts w:ascii="Calibri" w:cs="Calibri" w:eastAsia="Calibri" w:hAnsi="Calibri"/>
          <w:sz w:val="21"/>
          <w:szCs w:val="21"/>
        </w:rPr>
        <w:t xml:space="preserve">      E° = −0.28 V (NHE)          (1)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Cathode:  8H</w:t>
      </w:r>
      <w:r>
        <w:rPr>
          <w:rFonts w:ascii="Calibri" w:cs="Calibri" w:eastAsia="Calibri" w:hAnsi="Calibri"/>
          <w:sz w:val="21"/>
          <w:szCs w:val="21"/>
          <w:vertAlign w:val="superscript"/>
        </w:rPr>
        <w:t xml:space="preserve">+</w:t>
      </w:r>
      <w:r>
        <w:rPr>
          <w:rFonts w:ascii="Calibri" w:cs="Calibri" w:eastAsia="Calibri" w:hAnsi="Calibri"/>
          <w:sz w:val="21"/>
          <w:szCs w:val="21"/>
        </w:rPr>
        <w:t xml:space="preserve"> + 8e</w:t>
      </w:r>
      <w:r>
        <w:rPr>
          <w:rFonts w:ascii="Calibri" w:cs="Calibri" w:eastAsia="Calibri" w:hAnsi="Calibri"/>
          <w:sz w:val="21"/>
          <w:szCs w:val="21"/>
          <w:vertAlign w:val="superscript"/>
        </w:rPr>
        <w:t xml:space="preserve">−</w:t>
      </w:r>
      <w:r>
        <w:rPr>
          <w:rFonts w:ascii="Calibri" w:cs="Calibri" w:eastAsia="Calibri" w:hAnsi="Calibri"/>
          <w:sz w:val="21"/>
          <w:szCs w:val="21"/>
        </w:rPr>
        <w:t xml:space="preserve"> → 4H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sz w:val="21"/>
          <w:szCs w:val="21"/>
        </w:rPr>
        <w:t xml:space="preserve">      E° = −0.42 V (NHE)                       (2)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1.3  MEC experimental setup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two-chamber MEC is operated with substrate feed, HCl dosing under pH control, and effluent and gas-measurement lines. Anode and cathode potentials, pH, and temperature are logged through a National Instruments data-acquisition (NI DAQ) system, and the electrolyte is recirculated. This instrumentation gives the controlled, monitored conditions required to benchmark the membrane.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[ IMAGE PLACEHOLDER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20"/>
                <w:szCs w:val="20"/>
              </w:rPr>
              <w:t xml:space="preserve">Figure 3. MEC experimental setup: reactor with membrane/anode/cathode, effluent and gas-measurement lines, substrate and HCl pumps, recirculation, pH controller, and NI DAQ logging anode/cathode potentials, pH and temperature.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7F6000"/>
                <w:sz w:val="18"/>
                <w:szCs w:val="18"/>
              </w:rPr>
              <w:t xml:space="preserve">Drop image file here: Proposal/Nexus/images/03_mec_setup.png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3. Instrumented two-chamber MEC test rig.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1.4  MEC cell assembly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cell is a clamped stack: an anode block housing the carbon-felt anode, a membrane gasket holding the SPAES/PIN membrane, and a cathode block housing the titanium/platinum (Ti/Pt) cathode. This exploded view defines the electrode materials and the membrane's central, load-bearing position.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[ IMAGE PLACEHOLDER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20"/>
                <w:szCs w:val="20"/>
              </w:rPr>
              <w:t xml:space="preserve">Figure 4. Exploded view of the MEC cell: Anode Block, Anode (carbon felt), Membrane Gasket (SPAES/PIN), Cathode (Ti/Pt), and Cathode Block.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7F6000"/>
                <w:sz w:val="18"/>
                <w:szCs w:val="18"/>
              </w:rPr>
              <w:t xml:space="preserve">Drop image file here: Proposal/Nexus/images/04_cell_assembly.png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4. MEC cell assembly and electrode materials.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1.5  SPAES/PIN membrane fabrication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Polyimide nanofibres (PIN, ~200 nm) are produced by electrospinning to form a mechanical support web. A proton-conducting SPAES solution in N,N-dimethylacetamide (DMAc) is prepared and impregnated into the PIN web; the composite is formed by doctor blading, then dried at 80 °C for 6 h and acidified in 1 N H₂SO₄. The result is a composite in which the SPAES layer conducts protons while the embedded PIN carries mechanical load.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[ IMAGE PLACEHOLDER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20"/>
                <w:szCs w:val="20"/>
              </w:rPr>
              <w:t xml:space="preserve">Figure 5. SPAES/PIN fabrication route: PIN electrospinning → SPAES/DMAc solution → impregnation → doctor blading → drying (80 C, 6 h) and acidification (1 N H2SO4) → SPAES/PIN composite (SPAES proton-conductor layer + PIN mechanical supporter). Source: doi.org/10.1016/j.memsci.2017.06.048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7F6000"/>
                <w:sz w:val="18"/>
                <w:szCs w:val="18"/>
              </w:rPr>
              <w:t xml:space="preserve">Drop image file here: Proposal/Nexus/images/05_membrane_fabrication.png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5. Fabrication procedure and structure of the SPAES/PIN composite membrane.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1.6  Membrane characterization - governing equations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Membrane properties are quantified with the following relations from the source study, where W, A, and T are weight, area, and thickness in the wet and dry states; V and C are the consumed volume and concentration of NaOH; Em is the potential difference; F, R, and T are the Faraday constant, gas constant, and absolute temperature; and C₁, C₂ are the two HCl concentrations: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Water uptake:   WU (%) = ( W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wet</w:t>
      </w:r>
      <w:r>
        <w:rPr>
          <w:rFonts w:ascii="Calibri" w:cs="Calibri" w:eastAsia="Calibri" w:hAnsi="Calibri"/>
          <w:sz w:val="21"/>
          <w:szCs w:val="21"/>
        </w:rPr>
        <w:t xml:space="preserve"> − W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dry</w:t>
      </w:r>
      <w:r>
        <w:rPr>
          <w:rFonts w:ascii="Calibri" w:cs="Calibri" w:eastAsia="Calibri" w:hAnsi="Calibri"/>
          <w:sz w:val="21"/>
          <w:szCs w:val="21"/>
        </w:rPr>
        <w:t xml:space="preserve"> ) / W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dry</w:t>
      </w:r>
      <w:r>
        <w:rPr>
          <w:rFonts w:ascii="Calibri" w:cs="Calibri" w:eastAsia="Calibri" w:hAnsi="Calibri"/>
          <w:sz w:val="21"/>
          <w:szCs w:val="21"/>
        </w:rPr>
        <w:t xml:space="preserve"> × 100                         (3)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Area swelling:   ΔA (%) = ( A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wet</w:t>
      </w:r>
      <w:r>
        <w:rPr>
          <w:rFonts w:ascii="Calibri" w:cs="Calibri" w:eastAsia="Calibri" w:hAnsi="Calibri"/>
          <w:sz w:val="21"/>
          <w:szCs w:val="21"/>
        </w:rPr>
        <w:t xml:space="preserve"> − A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dry</w:t>
      </w:r>
      <w:r>
        <w:rPr>
          <w:rFonts w:ascii="Calibri" w:cs="Calibri" w:eastAsia="Calibri" w:hAnsi="Calibri"/>
          <w:sz w:val="21"/>
          <w:szCs w:val="21"/>
        </w:rPr>
        <w:t xml:space="preserve"> ) / A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dry</w:t>
      </w:r>
      <w:r>
        <w:rPr>
          <w:rFonts w:ascii="Calibri" w:cs="Calibri" w:eastAsia="Calibri" w:hAnsi="Calibri"/>
          <w:sz w:val="21"/>
          <w:szCs w:val="21"/>
        </w:rPr>
        <w:t xml:space="preserve"> × 100                          (4)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Thickness swelling:   ΔT (%) = ( T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wet</w:t>
      </w:r>
      <w:r>
        <w:rPr>
          <w:rFonts w:ascii="Calibri" w:cs="Calibri" w:eastAsia="Calibri" w:hAnsi="Calibri"/>
          <w:sz w:val="21"/>
          <w:szCs w:val="21"/>
        </w:rPr>
        <w:t xml:space="preserve"> − T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dry</w:t>
      </w:r>
      <w:r>
        <w:rPr>
          <w:rFonts w:ascii="Calibri" w:cs="Calibri" w:eastAsia="Calibri" w:hAnsi="Calibri"/>
          <w:sz w:val="21"/>
          <w:szCs w:val="21"/>
        </w:rPr>
        <w:t xml:space="preserve"> ) / T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dry</w:t>
      </w:r>
      <w:r>
        <w:rPr>
          <w:rFonts w:ascii="Calibri" w:cs="Calibri" w:eastAsia="Calibri" w:hAnsi="Calibri"/>
          <w:sz w:val="21"/>
          <w:szCs w:val="21"/>
        </w:rPr>
        <w:t xml:space="preserve"> × 100               (5)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Ion exchange capacity:   IEC (meq/g) = ( V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NaOH</w:t>
      </w:r>
      <w:r>
        <w:rPr>
          <w:rFonts w:ascii="Calibri" w:cs="Calibri" w:eastAsia="Calibri" w:hAnsi="Calibri"/>
          <w:sz w:val="21"/>
          <w:szCs w:val="21"/>
        </w:rPr>
        <w:t xml:space="preserve"> × C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NaOH</w:t>
      </w:r>
      <w:r>
        <w:rPr>
          <w:rFonts w:ascii="Calibri" w:cs="Calibri" w:eastAsia="Calibri" w:hAnsi="Calibri"/>
          <w:sz w:val="21"/>
          <w:szCs w:val="21"/>
        </w:rPr>
        <w:t xml:space="preserve"> ) / W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dry</w:t>
      </w:r>
      <w:r>
        <w:rPr>
          <w:rFonts w:ascii="Calibri" w:cs="Calibri" w:eastAsia="Calibri" w:hAnsi="Calibri"/>
          <w:sz w:val="21"/>
          <w:szCs w:val="21"/>
        </w:rPr>
        <w:t xml:space="preserve">       (6)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Proton transport number:   t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+</w:t>
      </w:r>
      <w:r>
        <w:rPr>
          <w:rFonts w:ascii="Calibri" w:cs="Calibri" w:eastAsia="Calibri" w:hAnsi="Calibri"/>
          <w:sz w:val="21"/>
          <w:szCs w:val="21"/>
        </w:rPr>
        <w:t xml:space="preserve"> = ½ { [ Em·F / ( R·T·ln(C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/C</w:t>
      </w:r>
      <w:r>
        <w:rPr>
          <w:rFonts w:ascii="Calibri" w:cs="Calibri" w:eastAsia="Calibri" w:hAnsi="Calibri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sz w:val="21"/>
          <w:szCs w:val="21"/>
        </w:rPr>
        <w:t xml:space="preserve">) ) ] + 1 }     (7)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Baseline targets from the source study that the model must reproduce and the optimization must beat: t₊ = 0.96 (vs 0.91 for Nafion-211); 3-10-fold lower cation crossover; 2-2.5-fold lower gas permeability; tensile strength &gt; 40 MPa; water uptake 35 ± 3 %; IEC 2.3 ± 0.3 meq/g; MEC hydrogen production 32.4 % higher with 90.3 % purity (vs 61.8 %).</w:t>
      </w:r>
    </w:p>
    <w:p>
      <w:pPr>
        <w:pageBreakBefore/>
      </w:pP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 Implementation Schedule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36-month common work plan (fiscal years 2027-2029) is summarised as a quarterly Gantt chart. Japanese (JP) molecular-dynamics work packages, Indonesian (ID) experimental work packages, and joint exchange (EX) activities are shown together so that the predict-verify handovers between the teams are visible. “X” marks an active quarter.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>
        <w:trPr>
          <w:tblHeader/>
        </w:trPr>
        <w:tc>
          <w:tcPr>
            <w:tcW w:type="dxa" w:w="426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 package (JP=Japan, ID=Indonesia, EX=exchange)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73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JP1  Build &amp; benchmark GPU-HPC MD platform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JP2  Baseline atomistic SPAES model + first MD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JP3  EVB/MS-EVB module; DFT-MD validation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JP4  Mechanistic model: t+ &amp; cation PMF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JP5  Continuum NP/PB fit; design screening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JP6  Design map, blind predictions, publish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ID1  Upgrade characterization (SAXS/TEM/PALS)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ID2  Baseline fabrication &amp; measurement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ID3  First DS/IEC family synthesis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ID4  Waste-feedstock characterization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ID5  Full family characterization (validate)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ID6  Side-chain synthesis routes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ID7  MEC rig commissioning &amp; acetate baseline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ID8  Optimum synthesis &amp; blind validation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ID9  Real-waste MEC demonstration &amp; durability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ID10 Data deposition &amp; joint IP filing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  ECR doctoral study at Tohoku (continuous)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  Joint Workshops 1/2/3 (Sendai/Bogor/Sendai)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  Reciprocal visits &amp; conference talks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26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  Joint publications &amp; annual reporting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73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Table A1. Quarterly implementation schedule over 36 months. Columns 1-4 = FY2027, 5-8 = FY2028, 9-12 = FY2029. Each year closes with a bidirectional handover.</w:t>
      </w:r>
    </w:p>
    <w:p>
      <w:pPr>
        <w:pageBreakBefore/>
      </w:pP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 Research Roadmap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roadmap places the funded 36-month project within a longer trajectory from validated membrane design to domestic manufacture and regional deployment.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Figure B1.  Ten-year research roadmap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73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1 (2027-2029) — THIS PROJECT</w:t>
            </w:r>
          </w:p>
        </w:tc>
        <w:tc>
          <w:tcPr>
            <w:tcW w:type="dxa" w:w="73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Validated MD structure-selectivity design rule (Gap 1) and an optimized DS/IEC membrane (Gap 2); the blind-tested optimum demonstrated in an MEC on real Indonesian waste versus Nafion-211.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2 (2030-2032)</w:t>
            </w:r>
          </w:p>
        </w:tc>
        <w:tc>
          <w:tcPr>
            <w:tcW w:type="dxa" w:w="73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Scale-up from coupons to continuously cast sheet; pilot MEC on palm oil mill / food-processing effluent; establish a domestic membrane fabrication route.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3 (2033-2036)</w:t>
            </w:r>
          </w:p>
        </w:tc>
        <w:tc>
          <w:tcPr>
            <w:tcW w:type="dxa" w:w="73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 deployment at agro-industrial sites; extend the platform to microbial fuel cells, reverse electrodialysis, and water treatment; disseminate across ASEAN Member States.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B1. Ten-year roadmap positioning model-guided, fluorine-free membrane design as a scalable route to a domestically manufacturable bioenergy technology.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Figure B2.  Three-year research plan (funded project)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36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79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Activities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1 (FY2027)</w:t>
            </w:r>
          </w:p>
        </w:tc>
        <w:tc>
          <w:tcPr>
            <w:tcW w:type="dxa" w:w="7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Japan builds/benchmarks the MD-HPC platform and the baseline SPAES model; Indonesia upgrades characterization (SAXS/TEM/PALS), reproduces the baseline, synthesises the first DS/IEC family, and characterises the waste feedstocks. Handover both ways.</w:t>
            </w:r>
          </w:p>
        </w:tc>
      </w:tr>
      <w:tr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2 (FY2028)</w:t>
            </w:r>
          </w:p>
        </w:tc>
        <w:tc>
          <w:tcPr>
            <w:tcW w:type="dxa" w:w="79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Japan completes and first-validates the mechanistic model (t+, cation crossover from geometry) and begins DS/IEC + side-chain screening; Indonesia validates the family, establishes side-chain routes, and commissions the MEC rigs. First joint publication.</w:t>
            </w:r>
          </w:p>
        </w:tc>
      </w:tr>
      <w:tr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3 (FY2029)</w:t>
            </w:r>
          </w:p>
        </w:tc>
        <w:tc>
          <w:tcPr>
            <w:tcW w:type="dxa" w:w="7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Japan finalises the design map and issues blind predictions; Indonesia synthesises the optimum, runs the blind validation, and demonstrates it in real-waste MEC operation; joint IP filing and reporting.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B2. Three-year plan progressing from baselines, through a validated model and design map, to a blind-tested optimum demonstrated on real Indonesian waste.</w:t>
      </w:r>
    </w:p>
    <w:p>
      <w:pPr>
        <w:pageBreakBefore/>
      </w:pP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 Budget Proposal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Under the no-cross-border-funding rule, the Japan side is funded by JST in Japanese Yen (Part IV) and the Indonesia side by BRIN/LPDP in Indonesian Rupiah (Part V); the two are budgeted and reported separately. The summaries below match Parts IV-V of the form.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Table C1.  Japan-side funding summary (1,000 JPY) - funded by JST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1400"/>
        <w:gridCol w:w="1436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FY2027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FY2028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FY2029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(a)</w:t>
            </w:r>
          </w:p>
        </w:tc>
        <w:tc>
          <w:tcPr>
            <w:tcW w:type="dxa" w:w="14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Exchange (b)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Facilities and equipment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4,000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  <w:tc>
          <w:tcPr>
            <w:tcW w:type="dxa" w:w="14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Consumables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9,000</w:t>
            </w:r>
          </w:p>
        </w:tc>
        <w:tc>
          <w:tcPr>
            <w:tcW w:type="dxa" w:w="14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Travel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8,000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25,000</w:t>
            </w:r>
          </w:p>
        </w:tc>
        <w:tc>
          <w:tcPr>
            <w:tcW w:type="dxa" w:w="14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20,000</w:t>
            </w:r>
          </w:p>
        </w:tc>
      </w:tr>
      <w:tr>
        <w:tc>
          <w:tcPr>
            <w:tcW w:type="dxa" w:w="3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Personnel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6,000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7,000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7,000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20,000</w:t>
            </w:r>
          </w:p>
        </w:tc>
        <w:tc>
          <w:tcPr>
            <w:tcW w:type="dxa" w:w="14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Others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6,000</w:t>
            </w:r>
          </w:p>
        </w:tc>
        <w:tc>
          <w:tcPr>
            <w:tcW w:type="dxa" w:w="14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</w:tr>
      <w:tr>
        <w:tc>
          <w:tcPr>
            <w:tcW w:type="dxa" w:w="32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 total (a)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39,000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27,000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24,000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90,000</w:t>
            </w:r>
          </w:p>
        </w:tc>
        <w:tc>
          <w:tcPr>
            <w:tcW w:type="dxa" w:w="14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27,000</w:t>
            </w:r>
          </w:p>
        </w:tc>
      </w:tr>
      <w:tr>
        <w:tc>
          <w:tcPr>
            <w:tcW w:type="dxa" w:w="32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Capacity building (3 ECR)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11,700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11,700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11,700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35,100</w:t>
            </w:r>
          </w:p>
        </w:tc>
        <w:tc>
          <w:tcPr>
            <w:tcW w:type="dxa" w:w="14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-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Table C1. Exchange plan (b) = 27,000 = 30.0% of direct (a). Indirect = 30% of direct, added separately by JST. Capacity building: 3.9M JPY/ECR/year, 11.7M/ECR maximum.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Table C2.  Indonesia-side funding summary (1,000 IDR) - funded by BRIN/LPDP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9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FY2027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FY2028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FY2029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 - Personnel (&lt;=25%)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240,000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240,000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240,000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720,000</w:t>
            </w:r>
          </w:p>
        </w:tc>
      </w:tr>
      <w:tr>
        <w:tc>
          <w:tcPr>
            <w:tcW w:type="dxa" w:w="39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 - Consumables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380,000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1,150,000</w:t>
            </w:r>
          </w:p>
        </w:tc>
      </w:tr>
      <w:tr>
        <w:tc>
          <w:tcPr>
            <w:tcW w:type="dxa" w:w="3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 - Travel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285,000</w:t>
            </w:r>
          </w:p>
        </w:tc>
      </w:tr>
      <w:tr>
        <w:tc>
          <w:tcPr>
            <w:tcW w:type="dxa" w:w="39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 - Capital (&lt;=10%)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195,000</w:t>
            </w:r>
          </w:p>
        </w:tc>
      </w:tr>
      <w:tr>
        <w:tc>
          <w:tcPr>
            <w:tcW w:type="dxa" w:w="3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 - Others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145,000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155,000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200,000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39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Indirect (&lt;=5%)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50,000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39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(&lt;= Rp 1,000,000/year)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1,000,000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1,000,000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1,000,000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3,000,000</w:t>
            </w:r>
          </w:p>
        </w:tc>
      </w:tr>
    </w:tbl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Table C2. Checks: personnel 24.0% (&lt;25%); capital 6.5% (&lt;10%); indirect 5.0% (&lt;5%); annual request Rp 1 billion; duration 36 months - all within BRIN limits.</w:t>
      </w:r>
    </w:p>
    <w:p>
      <w:pPr>
        <w:pageBreakBefore/>
      </w:pP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 Detailed Budget Plan (RAB) - Indonesia Side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RAB required by BRIN itemises the Indonesia-side (Rupiah) budget only; the Japan-side budget is in Part IV (Yen) and no cross-border funding is used. MD/HPC and all software licences are therefore absent here (Japan-side costs). Amounts are in thousand Rupiah (1,000 IDR); 3-year totals.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Title: </w:t>
      </w:r>
      <w:r>
        <w:rPr>
          <w:rFonts w:ascii="Calibri" w:cs="Calibri" w:eastAsia="Calibri" w:hAnsi="Calibri"/>
          <w:sz w:val="21"/>
          <w:szCs w:val="21"/>
        </w:rPr>
        <w:t xml:space="preserve">Proton-Selective Fluorine-Free Composite Membranes for MECs - Converting Organic Waste into High-Purity Biohydrogen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Scheme: </w:t>
      </w:r>
      <w:r>
        <w:rPr>
          <w:rFonts w:ascii="Calibri" w:cs="Calibri" w:eastAsia="Calibri" w:hAnsi="Calibri"/>
          <w:sz w:val="21"/>
          <w:szCs w:val="21"/>
        </w:rPr>
        <w:t xml:space="preserve">JST-BRIN NEXUS Joint Call 2026 (Bioenergy) / RIIM Kolaborasi 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Indonesia PI: </w:t>
      </w:r>
      <w:r>
        <w:rPr>
          <w:rFonts w:ascii="Calibri" w:cs="Calibri" w:eastAsia="Calibri" w:hAnsi="Calibri"/>
          <w:sz w:val="21"/>
          <w:szCs w:val="21"/>
        </w:rPr>
        <w:t xml:space="preserve">Prof. Nasruddin (Universitas Indonesia)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Co-PI / Team: </w:t>
      </w:r>
      <w:r>
        <w:rPr>
          <w:rFonts w:ascii="Calibri" w:cs="Calibri" w:eastAsia="Calibri" w:hAnsi="Calibri"/>
          <w:sz w:val="21"/>
          <w:szCs w:val="21"/>
        </w:rPr>
        <w:t xml:space="preserve">Dr.Eng. Obie Farobie, M.Si. (IPB University); Erdiyanto Munandar (BRIN)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Budget Summary (Recapitulation)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936"/>
      </w:tblGrid>
      <w:tr>
        <w:trPr>
          <w:tblHeader/>
        </w:trPr>
        <w:tc>
          <w:tcPr>
            <w:tcW w:type="dxa" w:w="70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 (1,000 IDR)</w:t>
            </w:r>
          </w:p>
        </w:tc>
      </w:tr>
      <w:tr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Personnel (max 25%)</w:t>
            </w:r>
          </w:p>
        </w:tc>
        <w:tc>
          <w:tcPr>
            <w:tcW w:type="dxa" w:w="2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720,000</w:t>
            </w:r>
          </w:p>
        </w:tc>
      </w:tr>
      <w:tr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Consumables</w:t>
            </w:r>
          </w:p>
        </w:tc>
        <w:tc>
          <w:tcPr>
            <w:tcW w:type="dxa" w:w="29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1,150,000</w:t>
            </w:r>
          </w:p>
        </w:tc>
      </w:tr>
      <w:tr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Travel</w:t>
            </w:r>
          </w:p>
        </w:tc>
        <w:tc>
          <w:tcPr>
            <w:tcW w:type="dxa" w:w="2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285,000</w:t>
            </w:r>
          </w:p>
        </w:tc>
      </w:tr>
      <w:tr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Capital (max 10%)</w:t>
            </w:r>
          </w:p>
        </w:tc>
        <w:tc>
          <w:tcPr>
            <w:tcW w:type="dxa" w:w="29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195,000</w:t>
            </w:r>
          </w:p>
        </w:tc>
      </w:tr>
      <w:tr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Operational Costs</w:t>
            </w:r>
          </w:p>
        </w:tc>
        <w:tc>
          <w:tcPr>
            <w:tcW w:type="dxa" w:w="29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Indirect / Monitoring &amp; Evaluation (max 5%)</w:t>
            </w:r>
          </w:p>
        </w:tc>
        <w:tc>
          <w:tcPr>
            <w:tcW w:type="dxa" w:w="29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70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(3 years)</w:t>
            </w:r>
          </w:p>
        </w:tc>
        <w:tc>
          <w:tcPr>
            <w:tcW w:type="dxa" w:w="29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3,000,000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Detailed Breakdown (3-year totals, 1,000 IDR)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A. Personnel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  <w:gridCol w:w="173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 (name / series / origin)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3-yr (Rp)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Research team honoraria (PI/Co-PI/researcher/students)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member honoraria, held below the 25% ceiling.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540,000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workers (waste sampling)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Feedstock sampling campaign.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Expert fees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Membrane/bioprocess expertise.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720,000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 Consumables (experiment)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  <w:gridCol w:w="173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 (name / series / origin)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3-yr (Rp)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SPAES base resin (Kolon, South Korea) + DS/IEC synthesis reagents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resin + reagents for the membrane family.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Side-chain modifiers (hydroxyl; n-BuOH)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Channel-narrowing modification routes (Gap 2).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N,N-dimethylacetamide (DMAc)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Casting solvent for SPAES.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Polyimide precursor + electrospinning consumables (~200 nm)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Electrospun PIN mechanical support.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Nafion-211 (DuPont, USA)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Benchmark control membrane.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Chemicals (H2SO4, NaCl, NaOH, HCl, phenolphthalein, std cations)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Acidification, IEC titration, crossover.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Nitrogen (99.999%) &amp; standard gas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Carrier gas &amp; gas-crossover analysis.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MEC electrode materials: carbon felt anode; Ti/Pt cathode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Anode &amp; cathode + VFA substrate.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SAXS measurement time (contracted)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Channel width &amp; cluster spacing.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 tomography time (contracted)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3D tortuosity &amp; connectivity.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PALS measurement time (contracted)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Free-volume / void size.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1,150,000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C. Travel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  <w:gridCol w:w="173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 (name / series / origin)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3-yr (Rp)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Domestic travel (feedstock sampling, IPB-UI, dissemination)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Coordination &amp; national dissemination (Rp 30M/yr).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International travel - data &amp; joint analysis (Tohoku); &lt;=10% cap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Joint analysis at Tohoku (Rp 60/65/70M, FY27-29).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195,000</w:t>
            </w:r>
          </w:p>
        </w:tc>
      </w:tr>
      <w:t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285,000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D. Capital (instrumentation; name / series / origin) - &lt;=10%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  <w:gridCol w:w="173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 (name / series / origin)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3-yr (Rp)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Data-acquisition multimeter (Keithley 2700 series, USA)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Proton transport number (t+) measurement.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Ag/AgCl reference electrodes (Microelectrode, USA)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Reference for t+ cell (+0.195 V vs NHE).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Gastight syringes (Hamilton SampleLock #1002, 2.5 mL, USA)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MEC headspace gas sampling.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Electrospinning unit hardware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 fabrication (~200 nm).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Two-chamber MEC reactor hardware (180 mL)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Biohydrogen MEC operation (0.5 V).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195,000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E. Other Operational Costs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  <w:gridCol w:w="173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 (name / series / origin)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3-yr (Rp)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Joint Workshop 2 hosting (Indonesia, FY2028)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Convening of the FY2028 joint workshop.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Article Processing Charges (APC)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Publication in reputable Q1 international journals.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Ethical clearance &amp; foreign research permit processing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Ethics Committee &amp; klirensetik permit.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deposition (BRIN RIN)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Primary-data repository deposit.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Meeting expenses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&amp; coordination meetings.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Research materials &amp; supplies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Consumable office/research supplies.</w:t>
            </w:r>
          </w:p>
        </w:tc>
        <w:tc>
          <w:tcPr>
            <w:tcW w:type="dxa" w:w="1736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500,000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F. Indirect (Monitoring &amp; Evaluation) - &lt;=5%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600"/>
        <w:gridCol w:w="1736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 (name / series / origin)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3-yr (Rp)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Monitoring &amp; evaluation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M&amp;E by the beneficiary institution (capped at 5%).</w:t>
            </w:r>
          </w:p>
        </w:tc>
        <w:tc>
          <w:tcPr>
            <w:tcW w:type="dxa" w:w="173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3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36"/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150,000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GRAND TOTAL (Indonesia side, 3 years) = 3,000,000 (1,000 IDR) = Rp 3,000,000,000.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Note: FE-SEM (TESCAN-MIRA3 LMU, Czech) with EDX, AFM (tapping mode), Instron 5967 tension tester (Instron Corp., USA; ASTM D882), ion chromatography (ICS5000, DIONEX, USA), and gas chromatograph (Series 580, GawMac Instrument Co., USA; Porapak Q column) are existing/shared facilities used on a service basis and are not new-purchase items.</w:t>
      </w:r>
    </w:p>
    <w:p>
      <w:pPr>
        <w:spacing w:after="120" w:before="200"/>
      </w:pPr>
      <w:r>
        <w:rPr>
          <w:rFonts w:ascii="Calibri" w:cs="Calibri" w:eastAsia="Calibri" w:hAnsi="Calibri"/>
          <w:sz w:val="21"/>
          <w:szCs w:val="21"/>
        </w:rPr>
        <w:t xml:space="preserve">Approved,                                                            Bogor, ____ July 2026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Head of Institution / Dean                                Principal Investigator (Indonesia)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Prof. ____________________                          Prof. Nasruddin, Universitas Indonesia</w:t>
      </w:r>
    </w:p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2026-07-19T08:15:45.611Z</dcterms:created>
  <dcterms:modified xsi:type="dcterms:W3CDTF">2026-07-19T08:15:45.611Z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