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6F7E"/>
          <w:sz w:val="18"/>
        </w:rPr>
        <w:t>BUSINESS STRATEGY  /  CASE STUDY</w:t>
      </w:r>
    </w:p>
    <w:p>
      <w:pPr>
        <w:pStyle w:val="Title"/>
      </w:pPr>
      <w:r>
        <w:t>Nintendo’s Two Blue Oceans</w:t>
      </w:r>
    </w:p>
    <w:p>
      <w:pPr>
        <w:pStyle w:val="Subtitle"/>
      </w:pPr>
      <w:r>
        <w:t>Wii (2006) → Wii U (2012) → Switch (2017)</w:t>
      </w:r>
    </w:p>
    <w:p>
      <w:r>
        <w:t>A source-backed, classroom-ready analysis of market creation, strategic renewal, and the limits of the Blue Ocean interpretation.</w:t>
      </w:r>
    </w:p>
    <w:p>
      <w:r>
        <w:t>Prepared for a lecture based on W. Chan Kim and Renée Mauborgne, “Blue Ocean Strategy,” Harvard Business Review (2004).</w:t>
      </w:r>
    </w:p>
    <w:p>
      <w:r>
        <w:t>Evidence current to 21 October 2026. Case focus: original Wii and original Nintendo Switch; Wii U is the transition. Switch 2 is outside the central analysis.</w:t>
      </w:r>
    </w:p>
    <w:p>
      <w:pPr>
        <w:pStyle w:val="Heading1"/>
      </w:pPr>
      <w:r>
        <w:t>Executive case argument</w:t>
      </w:r>
    </w:p>
    <w:p>
      <w:r>
        <w:t>Nintendo’s Wii and Switch represent two distinct forms of value innovation. Wii asked who could be brought into video games if controls became approachable and play became a shared household activity. Switch asked when, where, and with whom console-quality games could be played if the division between home and portable devices were relaxed. Each avoided a straightforward specifications arms race, but neither succeeded through hardware design alone. Software, price, brand, distribution, and execution mattered.</w:t>
      </w:r>
    </w:p>
    <w:p>
      <w:r>
        <w:t>The evidence is strongest that Wii sought and attracted lapsed/non-gamers. Switch’s successful hybrid proposition is documented, but claims that it created an entirely new gaming population are harder to prove. The intervening Wii U is a revealing failure: Nintendo itself acknowledged that its new value proposition was not sufficiently clear to customers. [S1–S6, S9–S13]</w:t>
      </w:r>
    </w:p>
    <w:p>
      <w:pPr>
        <w:pStyle w:val="Heading2"/>
      </w:pPr>
      <w:r>
        <w:t>Verified headline figures</w:t>
      </w:r>
    </w:p>
    <w:tbl>
      <w:tblPr>
        <w:tblStyle w:val="TableGrid"/>
        <w:tblW w:type="auto" w:w="0"/>
        <w:jc w:val="center"/>
        <w:tblLook w:firstColumn="1" w:firstRow="1" w:lastColumn="0" w:lastRow="0" w:noHBand="0" w:noVBand="1" w:val="04A0"/>
      </w:tblPr>
      <w:tblGrid>
        <w:gridCol w:w="2469"/>
        <w:gridCol w:w="2469"/>
        <w:gridCol w:w="2469"/>
        <w:gridCol w:w="2469"/>
      </w:tblGrid>
      <w:tr>
        <w:trPr>
          <w:tblHeader/>
        </w:trPr>
        <w:tc>
          <w:tcPr>
            <w:tcW w:type="dxa" w:w="2469"/>
            <w:shd w:fill="203953"/>
            <w:vAlign w:val="center"/>
          </w:tcPr>
          <w:p>
            <w:r/>
            <w:r>
              <w:rPr>
                <w:b/>
                <w:color w:val="FFFFFF"/>
                <w:sz w:val="16"/>
              </w:rPr>
              <w:t>Platform</w:t>
            </w:r>
          </w:p>
        </w:tc>
        <w:tc>
          <w:tcPr>
            <w:tcW w:type="dxa" w:w="2469"/>
            <w:shd w:fill="203953"/>
            <w:vAlign w:val="center"/>
          </w:tcPr>
          <w:p>
            <w:r/>
            <w:r>
              <w:rPr>
                <w:b/>
                <w:color w:val="FFFFFF"/>
                <w:sz w:val="16"/>
              </w:rPr>
              <w:t>Launch year</w:t>
            </w:r>
          </w:p>
        </w:tc>
        <w:tc>
          <w:tcPr>
            <w:tcW w:type="dxa" w:w="2469"/>
            <w:shd w:fill="203953"/>
            <w:vAlign w:val="center"/>
          </w:tcPr>
          <w:p>
            <w:r/>
            <w:r>
              <w:rPr>
                <w:b/>
                <w:color w:val="FFFFFF"/>
                <w:sz w:val="16"/>
              </w:rPr>
              <w:t>Worldwide hardware</w:t>
            </w:r>
          </w:p>
        </w:tc>
        <w:tc>
          <w:tcPr>
            <w:tcW w:type="dxa" w:w="2469"/>
            <w:shd w:fill="203953"/>
            <w:vAlign w:val="center"/>
          </w:tcPr>
          <w:p>
            <w:r/>
            <w:r>
              <w:rPr>
                <w:b/>
                <w:color w:val="FFFFFF"/>
                <w:sz w:val="16"/>
              </w:rPr>
              <w:t>Worldwide software</w:t>
            </w:r>
          </w:p>
        </w:tc>
      </w:tr>
      <w:tr>
        <w:trPr>
          <w:cantSplit/>
        </w:trPr>
        <w:tc>
          <w:tcPr>
            <w:tcW w:type="dxa" w:w="2469"/>
            <w:vAlign w:val="center"/>
            <w:shd w:fill="EEF3F6"/>
          </w:tcPr>
          <w:p>
            <w:r/>
            <w:r>
              <w:rPr>
                <w:b w:val="0"/>
                <w:sz w:val="16"/>
              </w:rPr>
              <w:t>GameCube</w:t>
            </w:r>
          </w:p>
        </w:tc>
        <w:tc>
          <w:tcPr>
            <w:tcW w:type="dxa" w:w="2469"/>
            <w:vAlign w:val="center"/>
            <w:shd w:fill="EEF3F6"/>
          </w:tcPr>
          <w:p>
            <w:r/>
            <w:r>
              <w:rPr>
                <w:b w:val="0"/>
                <w:sz w:val="16"/>
              </w:rPr>
              <w:t>2001</w:t>
            </w:r>
          </w:p>
        </w:tc>
        <w:tc>
          <w:tcPr>
            <w:tcW w:type="dxa" w:w="2469"/>
            <w:vAlign w:val="center"/>
            <w:shd w:fill="EEF3F6"/>
          </w:tcPr>
          <w:p>
            <w:r/>
            <w:r>
              <w:rPr>
                <w:b w:val="0"/>
                <w:sz w:val="16"/>
              </w:rPr>
              <w:t>21.74 million</w:t>
            </w:r>
          </w:p>
        </w:tc>
        <w:tc>
          <w:tcPr>
            <w:tcW w:type="dxa" w:w="2469"/>
            <w:vAlign w:val="center"/>
            <w:shd w:fill="EEF3F6"/>
          </w:tcPr>
          <w:p>
            <w:r/>
            <w:r>
              <w:rPr>
                <w:b w:val="0"/>
                <w:sz w:val="16"/>
              </w:rPr>
              <w:t>208.58 million</w:t>
            </w:r>
          </w:p>
        </w:tc>
      </w:tr>
      <w:tr>
        <w:trPr>
          <w:cantSplit/>
        </w:trPr>
        <w:tc>
          <w:tcPr>
            <w:tcW w:type="dxa" w:w="2469"/>
            <w:vAlign w:val="center"/>
          </w:tcPr>
          <w:p>
            <w:r/>
            <w:r>
              <w:rPr>
                <w:b w:val="0"/>
                <w:sz w:val="16"/>
              </w:rPr>
              <w:t>Wii</w:t>
            </w:r>
          </w:p>
        </w:tc>
        <w:tc>
          <w:tcPr>
            <w:tcW w:type="dxa" w:w="2469"/>
            <w:vAlign w:val="center"/>
          </w:tcPr>
          <w:p>
            <w:r/>
            <w:r>
              <w:rPr>
                <w:b w:val="0"/>
                <w:sz w:val="16"/>
              </w:rPr>
              <w:t>2006</w:t>
            </w:r>
          </w:p>
        </w:tc>
        <w:tc>
          <w:tcPr>
            <w:tcW w:type="dxa" w:w="2469"/>
            <w:vAlign w:val="center"/>
          </w:tcPr>
          <w:p>
            <w:r/>
            <w:r>
              <w:rPr>
                <w:b w:val="0"/>
                <w:sz w:val="16"/>
              </w:rPr>
              <w:t>101.63 million</w:t>
            </w:r>
          </w:p>
        </w:tc>
        <w:tc>
          <w:tcPr>
            <w:tcW w:type="dxa" w:w="2469"/>
            <w:vAlign w:val="center"/>
          </w:tcPr>
          <w:p>
            <w:r/>
            <w:r>
              <w:rPr>
                <w:b w:val="0"/>
                <w:sz w:val="16"/>
              </w:rPr>
              <w:t>921.85 million</w:t>
            </w:r>
          </w:p>
        </w:tc>
      </w:tr>
      <w:tr>
        <w:trPr>
          <w:cantSplit/>
        </w:trPr>
        <w:tc>
          <w:tcPr>
            <w:tcW w:type="dxa" w:w="2469"/>
            <w:vAlign w:val="center"/>
            <w:shd w:fill="EEF3F6"/>
          </w:tcPr>
          <w:p>
            <w:r/>
            <w:r>
              <w:rPr>
                <w:b w:val="0"/>
                <w:sz w:val="16"/>
              </w:rPr>
              <w:t>Wii U</w:t>
            </w:r>
          </w:p>
        </w:tc>
        <w:tc>
          <w:tcPr>
            <w:tcW w:type="dxa" w:w="2469"/>
            <w:vAlign w:val="center"/>
            <w:shd w:fill="EEF3F6"/>
          </w:tcPr>
          <w:p>
            <w:r/>
            <w:r>
              <w:rPr>
                <w:b w:val="0"/>
                <w:sz w:val="16"/>
              </w:rPr>
              <w:t>2012</w:t>
            </w:r>
          </w:p>
        </w:tc>
        <w:tc>
          <w:tcPr>
            <w:tcW w:type="dxa" w:w="2469"/>
            <w:vAlign w:val="center"/>
            <w:shd w:fill="EEF3F6"/>
          </w:tcPr>
          <w:p>
            <w:r/>
            <w:r>
              <w:rPr>
                <w:b w:val="0"/>
                <w:sz w:val="16"/>
              </w:rPr>
              <w:t>13.56 million</w:t>
            </w:r>
          </w:p>
        </w:tc>
        <w:tc>
          <w:tcPr>
            <w:tcW w:type="dxa" w:w="2469"/>
            <w:vAlign w:val="center"/>
            <w:shd w:fill="EEF3F6"/>
          </w:tcPr>
          <w:p>
            <w:r/>
            <w:r>
              <w:rPr>
                <w:b w:val="0"/>
                <w:sz w:val="16"/>
              </w:rPr>
              <w:t>103.60 million</w:t>
            </w:r>
          </w:p>
        </w:tc>
      </w:tr>
      <w:tr>
        <w:trPr>
          <w:cantSplit/>
        </w:trPr>
        <w:tc>
          <w:tcPr>
            <w:tcW w:type="dxa" w:w="2469"/>
            <w:vAlign w:val="center"/>
          </w:tcPr>
          <w:p>
            <w:r/>
            <w:r>
              <w:rPr>
                <w:b w:val="0"/>
                <w:sz w:val="16"/>
              </w:rPr>
              <w:t>Nintendo Switch family</w:t>
            </w:r>
          </w:p>
        </w:tc>
        <w:tc>
          <w:tcPr>
            <w:tcW w:type="dxa" w:w="2469"/>
            <w:vAlign w:val="center"/>
          </w:tcPr>
          <w:p>
            <w:r/>
            <w:r>
              <w:rPr>
                <w:b w:val="0"/>
                <w:sz w:val="16"/>
              </w:rPr>
              <w:t>2017</w:t>
            </w:r>
          </w:p>
        </w:tc>
        <w:tc>
          <w:tcPr>
            <w:tcW w:type="dxa" w:w="2469"/>
            <w:vAlign w:val="center"/>
          </w:tcPr>
          <w:p>
            <w:r/>
            <w:r>
              <w:rPr>
                <w:b w:val="0"/>
                <w:sz w:val="16"/>
              </w:rPr>
              <w:t>156.59 million</w:t>
            </w:r>
          </w:p>
        </w:tc>
        <w:tc>
          <w:tcPr>
            <w:tcW w:type="dxa" w:w="2469"/>
            <w:vAlign w:val="center"/>
          </w:tcPr>
          <w:p>
            <w:r/>
            <w:r>
              <w:rPr>
                <w:b w:val="0"/>
                <w:sz w:val="16"/>
              </w:rPr>
              <w:t>1,561.95 million</w:t>
            </w:r>
          </w:p>
        </w:tc>
      </w:tr>
    </w:tbl>
    <w:p>
      <w:pPr>
        <w:spacing w:after="0"/>
      </w:pPr>
    </w:p>
    <w:p>
      <w:r>
        <w:rPr>
          <w:i/>
          <w:color w:val="5B6978"/>
          <w:sz w:val="16"/>
        </w:rPr>
        <w:t>Nintendo Investor Relations worldwide consolidated life-to-date unit sales, as of 30 June 2026. Switch family includes original Switch revisions (e.g., Lite/OLED); excludes Switch 2. Hardware and software units are not revenue or profit. [S1]</w:t>
      </w:r>
    </w:p>
    <w:tbl>
      <w:tblPr>
        <w:tblW w:type="auto" w:w="0"/>
        <w:tblLook w:firstColumn="1" w:firstRow="1" w:lastColumn="0" w:lastRow="0" w:noHBand="0" w:noVBand="1" w:val="04A0"/>
      </w:tblPr>
      <w:tblGrid>
        <w:gridCol w:w="9878"/>
      </w:tblGrid>
      <w:tr>
        <w:tc>
          <w:tcPr>
            <w:tcW w:type="dxa" w:w="9878"/>
            <w:shd w:fill="EAF2F6"/>
          </w:tcPr>
          <w:p>
            <w:r/>
            <w:r>
              <w:rPr>
                <w:b/>
                <w:color w:val="1C6F7E"/>
                <w:sz w:val="18"/>
              </w:rPr>
              <w:t xml:space="preserve">CENTRAL TEACHING QUESTION  </w:t>
            </w:r>
            <w:r>
              <w:t>Does blue-ocean success come from finding entirely new consumers, redefining when and how existing consumers participate, or some combination of both?</w:t>
            </w:r>
          </w:p>
        </w:tc>
      </w:tr>
    </w:tbl>
    <w:p>
      <w:pPr>
        <w:spacing w:after="0"/>
      </w:pPr>
    </w:p>
    <w:p>
      <w:r>
        <w:br w:type="page"/>
      </w:r>
    </w:p>
    <w:p>
      <w:pPr>
        <w:pStyle w:val="Heading1"/>
      </w:pPr>
      <w:r>
        <w:t>A case in five strategic decisions</w:t>
      </w:r>
    </w:p>
    <w:tbl>
      <w:tblPr>
        <w:tblStyle w:val="TableGrid"/>
        <w:tblW w:type="auto" w:w="0"/>
        <w:jc w:val="center"/>
        <w:tblLook w:firstColumn="1" w:firstRow="1" w:lastColumn="0" w:lastRow="0" w:noHBand="0" w:noVBand="1" w:val="04A0"/>
      </w:tblPr>
      <w:tblGrid>
        <w:gridCol w:w="3293"/>
        <w:gridCol w:w="3293"/>
        <w:gridCol w:w="3293"/>
      </w:tblGrid>
      <w:tr>
        <w:trPr>
          <w:tblHeader/>
        </w:trPr>
        <w:tc>
          <w:tcPr>
            <w:tcW w:type="dxa" w:w="3293"/>
            <w:shd w:fill="203953"/>
            <w:vAlign w:val="center"/>
          </w:tcPr>
          <w:p>
            <w:r/>
            <w:r>
              <w:rPr>
                <w:b/>
                <w:color w:val="FFFFFF"/>
                <w:sz w:val="16"/>
              </w:rPr>
              <w:t>Date</w:t>
            </w:r>
          </w:p>
        </w:tc>
        <w:tc>
          <w:tcPr>
            <w:tcW w:type="dxa" w:w="3293"/>
            <w:shd w:fill="203953"/>
            <w:vAlign w:val="center"/>
          </w:tcPr>
          <w:p>
            <w:r/>
            <w:r>
              <w:rPr>
                <w:b/>
                <w:color w:val="FFFFFF"/>
                <w:sz w:val="16"/>
              </w:rPr>
              <w:t>Decision / turning point</w:t>
            </w:r>
          </w:p>
        </w:tc>
        <w:tc>
          <w:tcPr>
            <w:tcW w:type="dxa" w:w="3293"/>
            <w:shd w:fill="203953"/>
            <w:vAlign w:val="center"/>
          </w:tcPr>
          <w:p>
            <w:r/>
            <w:r>
              <w:rPr>
                <w:b/>
                <w:color w:val="FFFFFF"/>
                <w:sz w:val="16"/>
              </w:rPr>
              <w:t>What it tests</w:t>
            </w:r>
          </w:p>
        </w:tc>
      </w:tr>
      <w:tr>
        <w:trPr>
          <w:cantSplit/>
        </w:trPr>
        <w:tc>
          <w:tcPr>
            <w:tcW w:type="dxa" w:w="3293"/>
            <w:vAlign w:val="center"/>
            <w:shd w:fill="EEF3F6"/>
          </w:tcPr>
          <w:p>
            <w:r/>
            <w:r>
              <w:rPr>
                <w:b w:val="0"/>
                <w:sz w:val="16"/>
              </w:rPr>
              <w:t>2001–06</w:t>
            </w:r>
          </w:p>
        </w:tc>
        <w:tc>
          <w:tcPr>
            <w:tcW w:type="dxa" w:w="3293"/>
            <w:vAlign w:val="center"/>
            <w:shd w:fill="EEF3F6"/>
          </w:tcPr>
          <w:p>
            <w:r/>
            <w:r>
              <w:rPr>
                <w:b w:val="0"/>
                <w:sz w:val="16"/>
              </w:rPr>
              <w:t>GameCube trails; Nintendo questions the console-performance race</w:t>
            </w:r>
          </w:p>
        </w:tc>
        <w:tc>
          <w:tcPr>
            <w:tcW w:type="dxa" w:w="3293"/>
            <w:vAlign w:val="center"/>
            <w:shd w:fill="EEF3F6"/>
          </w:tcPr>
          <w:p>
            <w:r/>
            <w:r>
              <w:rPr>
                <w:b w:val="0"/>
                <w:sz w:val="16"/>
              </w:rPr>
              <w:t>Industry assumptions and noncustomers</w:t>
            </w:r>
          </w:p>
        </w:tc>
      </w:tr>
      <w:tr>
        <w:trPr>
          <w:cantSplit/>
        </w:trPr>
        <w:tc>
          <w:tcPr>
            <w:tcW w:type="dxa" w:w="3293"/>
            <w:vAlign w:val="center"/>
          </w:tcPr>
          <w:p>
            <w:r/>
            <w:r>
              <w:rPr>
                <w:b w:val="0"/>
                <w:sz w:val="16"/>
              </w:rPr>
              <w:t>2006</w:t>
            </w:r>
          </w:p>
        </w:tc>
        <w:tc>
          <w:tcPr>
            <w:tcW w:type="dxa" w:w="3293"/>
            <w:vAlign w:val="center"/>
          </w:tcPr>
          <w:p>
            <w:r/>
            <w:r>
              <w:rPr>
                <w:b w:val="0"/>
                <w:sz w:val="16"/>
              </w:rPr>
              <w:t>Wii launches with motion-first controls and Wii Sports bundle (US)</w:t>
            </w:r>
          </w:p>
        </w:tc>
        <w:tc>
          <w:tcPr>
            <w:tcW w:type="dxa" w:w="3293"/>
            <w:vAlign w:val="center"/>
          </w:tcPr>
          <w:p>
            <w:r/>
            <w:r>
              <w:rPr>
                <w:b w:val="0"/>
                <w:sz w:val="16"/>
              </w:rPr>
              <w:t>Value innovation and demand creation</w:t>
            </w:r>
          </w:p>
        </w:tc>
      </w:tr>
      <w:tr>
        <w:trPr>
          <w:cantSplit/>
        </w:trPr>
        <w:tc>
          <w:tcPr>
            <w:tcW w:type="dxa" w:w="3293"/>
            <w:vAlign w:val="center"/>
            <w:shd w:fill="EEF3F6"/>
          </w:tcPr>
          <w:p>
            <w:r/>
            <w:r>
              <w:rPr>
                <w:b w:val="0"/>
                <w:sz w:val="16"/>
              </w:rPr>
              <w:t>2010–12</w:t>
            </w:r>
          </w:p>
        </w:tc>
        <w:tc>
          <w:tcPr>
            <w:tcW w:type="dxa" w:w="3293"/>
            <w:vAlign w:val="center"/>
            <w:shd w:fill="EEF3F6"/>
          </w:tcPr>
          <w:p>
            <w:r/>
            <w:r>
              <w:rPr>
                <w:b w:val="0"/>
                <w:sz w:val="16"/>
              </w:rPr>
              <w:t>Motion competitors and smartphones increase substitution</w:t>
            </w:r>
          </w:p>
        </w:tc>
        <w:tc>
          <w:tcPr>
            <w:tcW w:type="dxa" w:w="3293"/>
            <w:vAlign w:val="center"/>
            <w:shd w:fill="EEF3F6"/>
          </w:tcPr>
          <w:p>
            <w:r/>
            <w:r>
              <w:rPr>
                <w:b w:val="0"/>
                <w:sz w:val="16"/>
              </w:rPr>
              <w:t>Imitation and boundary erosion</w:t>
            </w:r>
          </w:p>
        </w:tc>
      </w:tr>
      <w:tr>
        <w:trPr>
          <w:cantSplit/>
        </w:trPr>
        <w:tc>
          <w:tcPr>
            <w:tcW w:type="dxa" w:w="3293"/>
            <w:vAlign w:val="center"/>
          </w:tcPr>
          <w:p>
            <w:r/>
            <w:r>
              <w:rPr>
                <w:b w:val="0"/>
                <w:sz w:val="16"/>
              </w:rPr>
              <w:t>2012–14</w:t>
            </w:r>
          </w:p>
        </w:tc>
        <w:tc>
          <w:tcPr>
            <w:tcW w:type="dxa" w:w="3293"/>
            <w:vAlign w:val="center"/>
          </w:tcPr>
          <w:p>
            <w:r/>
            <w:r>
              <w:rPr>
                <w:b w:val="0"/>
                <w:sz w:val="16"/>
              </w:rPr>
              <w:t>Wii U debuts; Nintendo later admits unclear GamePad value</w:t>
            </w:r>
          </w:p>
        </w:tc>
        <w:tc>
          <w:tcPr>
            <w:tcW w:type="dxa" w:w="3293"/>
            <w:vAlign w:val="center"/>
          </w:tcPr>
          <w:p>
            <w:r/>
            <w:r>
              <w:rPr>
                <w:b w:val="0"/>
                <w:sz w:val="16"/>
              </w:rPr>
              <w:t>Failure of customer communication and adoption</w:t>
            </w:r>
          </w:p>
        </w:tc>
      </w:tr>
      <w:tr>
        <w:trPr>
          <w:cantSplit/>
        </w:trPr>
        <w:tc>
          <w:tcPr>
            <w:tcW w:type="dxa" w:w="3293"/>
            <w:vAlign w:val="center"/>
            <w:shd w:fill="EEF3F6"/>
          </w:tcPr>
          <w:p>
            <w:r/>
            <w:r>
              <w:rPr>
                <w:b w:val="0"/>
                <w:sz w:val="16"/>
              </w:rPr>
              <w:t>2017 onward</w:t>
            </w:r>
          </w:p>
        </w:tc>
        <w:tc>
          <w:tcPr>
            <w:tcW w:type="dxa" w:w="3293"/>
            <w:vAlign w:val="center"/>
            <w:shd w:fill="EEF3F6"/>
          </w:tcPr>
          <w:p>
            <w:r/>
            <w:r>
              <w:rPr>
                <w:b w:val="0"/>
                <w:sz w:val="16"/>
              </w:rPr>
              <w:t>Switch unifies TV, handheld, and local social play</w:t>
            </w:r>
          </w:p>
        </w:tc>
        <w:tc>
          <w:tcPr>
            <w:tcW w:type="dxa" w:w="3293"/>
            <w:vAlign w:val="center"/>
            <w:shd w:fill="EEF3F6"/>
          </w:tcPr>
          <w:p>
            <w:r/>
            <w:r>
              <w:rPr>
                <w:b w:val="0"/>
                <w:sz w:val="16"/>
              </w:rPr>
              <w:t>Renewal through a different value curve</w:t>
            </w:r>
          </w:p>
        </w:tc>
      </w:tr>
    </w:tbl>
    <w:p>
      <w:pPr>
        <w:spacing w:after="0"/>
      </w:pPr>
    </w:p>
    <w:p>
      <w:pPr>
        <w:pStyle w:val="Heading1"/>
      </w:pPr>
      <w:r>
        <w:t>1. Theory: what counts as a blue ocean?</w:t>
      </w:r>
    </w:p>
    <w:p>
      <w:r>
        <w:t>In the assigned 2004 HBR article, red oceans involve rivalry for existing demand inside recognized market boundaries; blue oceans involve reconstructing boundaries and generating demand. Value innovation means pursuing a buyer-value leap while redesigning the activity system to avoid unnecessary producer costs. A market-creating strategic move—rather than a permanently superior company—is the relevant unit of analysis. [S0]</w:t>
      </w:r>
    </w:p>
    <w:p>
      <w:r>
        <w:t>Two points are essential when applying this framework to Nintendo. First, technological invention is not a prerequisite: a different way of combining familiar capabilities can change consumer utility. Second, the framework does not assert that competition disappears forever. The firm must still execute, capture value, and renew as rivals and substitutes evolve. [S0, S3, S4]</w:t>
      </w:r>
    </w:p>
    <w:tbl>
      <w:tblPr>
        <w:tblW w:type="auto" w:w="0"/>
        <w:tblLook w:firstColumn="1" w:firstRow="1" w:lastColumn="0" w:lastRow="0" w:noHBand="0" w:noVBand="1" w:val="04A0"/>
      </w:tblPr>
      <w:tblGrid>
        <w:gridCol w:w="9878"/>
      </w:tblGrid>
      <w:tr>
        <w:tc>
          <w:tcPr>
            <w:tcW w:type="dxa" w:w="9878"/>
            <w:shd w:fill="EAF2F6"/>
          </w:tcPr>
          <w:p>
            <w:r/>
            <w:r>
              <w:rPr>
                <w:b/>
                <w:color w:val="1C6F7E"/>
                <w:sz w:val="18"/>
              </w:rPr>
              <w:t xml:space="preserve">ANALYTICAL STANDARD  </w:t>
            </w:r>
            <w:r>
              <w:t>This case distinguishes (A) Nintendo’s recorded intentions and actions, (B) observed sales/adoption, and (C) interpretations of why the strategy worked. Correlation and a compelling narrative do not by themselves establish causality.</w:t>
            </w:r>
          </w:p>
        </w:tc>
      </w:tr>
    </w:tbl>
    <w:p>
      <w:pPr>
        <w:spacing w:after="0"/>
      </w:pPr>
    </w:p>
    <w:p>
      <w:pPr>
        <w:pStyle w:val="Heading1"/>
      </w:pPr>
      <w:r>
        <w:t>2. 2001–2006: the problem Nintendo had to solve</w:t>
      </w:r>
    </w:p>
    <w:p>
      <w:r>
        <w:t>At the beginning of the 2000s, console competition increasingly focused on graphics, processing capability, and rich technical experiences, particularly at Sony and Microsoft. Nintendo could attempt to match those features at considerable investment or redefine what counted as a valuable play experience. Its GameCube eventually sold 21.74 million units worldwide, providing historical context for the firm’s strategic challenge. The GameCube figure is a lifetime total, not its installed base when Wii launched. [S1, S3, S4]</w:t>
      </w:r>
    </w:p>
    <w:p>
      <w:r>
        <w:t>Nintendo president Satoru Iwata articulated an explicit goal of increasing the total number of people who played video games. His May 2006 address identified two neglected audiences alongside current gamers: people who once played but had lost interest, and people who had never played. He argued that continually making games more visually elaborate and more complex would not remove their barriers to entry. [S7]</w:t>
      </w:r>
    </w:p>
    <w:p>
      <w:r>
        <w:t>This is a subtle but important reconstruction of the problem. Nintendo did not primarily ask how to win performance-conscious PlayStation or Xbox customers. It asked how the category could become accessible to people who did not think of themselves as console gamers. That premise underlies the INSEAD Wii case, whose pedagogical objective emphasizes commonalities among noncustomers rather than fine segmentation of existing enthusiasts. [S2]</w:t>
      </w:r>
    </w:p>
    <w:p>
      <w:pPr>
        <w:pStyle w:val="Heading1"/>
      </w:pPr>
      <w:r>
        <w:t>3. Wii (2006): the first market-creating move</w:t>
      </w:r>
    </w:p>
    <w:p>
      <w:pPr>
        <w:pStyle w:val="Heading2"/>
      </w:pPr>
      <w:r>
        <w:t>3.1 Offering and positioning</w:t>
      </w:r>
    </w:p>
    <w:p>
      <w:r>
        <w:t>Nintendo launched Wii in North America on 19 November 2006 at a US MSRP of $249.99. The US launch package included the Wii Remote, Nunchuk, and Wii Sports. Tennis, bowling, baseball, golf, and boxing supplied familiar physical actions that spectators could understand quickly. These specific package and price details come from Nintendo’s September 2006 launch announcement, reprinted contemporaneously. [S8]</w:t>
      </w:r>
    </w:p>
    <w:p>
      <w:r>
        <w:t>The remote did not eliminate gaming sophistication; it lowered the immediate participation hurdle in selected experiences. The bundled game reduced the need to select and purchase a separate introductory product. Mii characters, the Wii Channel Menu, and intergenerational/social play reinforced approachability. Wii still served dedicated gamers, including through traditional franchises and conventional game design. [S7–S8]</w:t>
      </w:r>
    </w:p>
    <w:p>
      <w:pPr>
        <w:pStyle w:val="Heading2"/>
      </w:pPr>
      <w:r>
        <w:t>3.2 Wii’s proposed value innovation (analytical reconstruction)</w:t>
      </w:r>
    </w:p>
    <w:tbl>
      <w:tblPr>
        <w:tblStyle w:val="TableGrid"/>
        <w:tblW w:type="auto" w:w="0"/>
        <w:jc w:val="center"/>
        <w:tblLook w:firstColumn="1" w:firstRow="1" w:lastColumn="0" w:lastRow="0" w:noHBand="0" w:noVBand="1" w:val="04A0"/>
      </w:tblPr>
      <w:tblGrid>
        <w:gridCol w:w="3293"/>
        <w:gridCol w:w="3293"/>
        <w:gridCol w:w="3293"/>
      </w:tblGrid>
      <w:tr>
        <w:trPr>
          <w:tblHeader/>
        </w:trPr>
        <w:tc>
          <w:tcPr>
            <w:tcW w:type="dxa" w:w="3293"/>
            <w:shd w:fill="203953"/>
            <w:vAlign w:val="center"/>
          </w:tcPr>
          <w:p>
            <w:r/>
            <w:r>
              <w:rPr>
                <w:b/>
                <w:color w:val="FFFFFF"/>
                <w:sz w:val="16"/>
              </w:rPr>
              <w:t>Four action</w:t>
            </w:r>
          </w:p>
        </w:tc>
        <w:tc>
          <w:tcPr>
            <w:tcW w:type="dxa" w:w="3293"/>
            <w:shd w:fill="203953"/>
            <w:vAlign w:val="center"/>
          </w:tcPr>
          <w:p>
            <w:r/>
            <w:r>
              <w:rPr>
                <w:b/>
                <w:color w:val="FFFFFF"/>
                <w:sz w:val="16"/>
              </w:rPr>
              <w:t>Illustrative Wii interpretation</w:t>
            </w:r>
          </w:p>
        </w:tc>
        <w:tc>
          <w:tcPr>
            <w:tcW w:type="dxa" w:w="3293"/>
            <w:shd w:fill="203953"/>
            <w:vAlign w:val="center"/>
          </w:tcPr>
          <w:p>
            <w:r/>
            <w:r>
              <w:rPr>
                <w:b/>
                <w:color w:val="FFFFFF"/>
                <w:sz w:val="16"/>
              </w:rPr>
              <w:t>Caution</w:t>
            </w:r>
          </w:p>
        </w:tc>
      </w:tr>
      <w:tr>
        <w:trPr>
          <w:cantSplit/>
        </w:trPr>
        <w:tc>
          <w:tcPr>
            <w:tcW w:type="dxa" w:w="3293"/>
            <w:vAlign w:val="center"/>
            <w:shd w:fill="EEF3F6"/>
          </w:tcPr>
          <w:p>
            <w:r/>
            <w:r>
              <w:rPr>
                <w:b w:val="0"/>
                <w:sz w:val="16"/>
              </w:rPr>
              <w:t>Eliminate</w:t>
            </w:r>
          </w:p>
        </w:tc>
        <w:tc>
          <w:tcPr>
            <w:tcW w:type="dxa" w:w="3293"/>
            <w:vAlign w:val="center"/>
            <w:shd w:fill="EEF3F6"/>
          </w:tcPr>
          <w:p>
            <w:r/>
            <w:r>
              <w:rPr>
                <w:b w:val="0"/>
                <w:sz w:val="16"/>
              </w:rPr>
              <w:t>Avoid a requirement that entry-level play demand mastery of complex inputs; forgo some multimedia extras</w:t>
            </w:r>
          </w:p>
        </w:tc>
        <w:tc>
          <w:tcPr>
            <w:tcW w:type="dxa" w:w="3293"/>
            <w:vAlign w:val="center"/>
            <w:shd w:fill="EEF3F6"/>
          </w:tcPr>
          <w:p>
            <w:r/>
            <w:r>
              <w:rPr>
                <w:b w:val="0"/>
                <w:sz w:val="16"/>
              </w:rPr>
              <w:t>Did not eliminate conventional games or button controls</w:t>
            </w:r>
          </w:p>
        </w:tc>
      </w:tr>
      <w:tr>
        <w:trPr>
          <w:cantSplit/>
        </w:trPr>
        <w:tc>
          <w:tcPr>
            <w:tcW w:type="dxa" w:w="3293"/>
            <w:vAlign w:val="center"/>
          </w:tcPr>
          <w:p>
            <w:r/>
            <w:r>
              <w:rPr>
                <w:b w:val="0"/>
                <w:sz w:val="16"/>
              </w:rPr>
              <w:t>Reduce</w:t>
            </w:r>
          </w:p>
        </w:tc>
        <w:tc>
          <w:tcPr>
            <w:tcW w:type="dxa" w:w="3293"/>
            <w:vAlign w:val="center"/>
          </w:tcPr>
          <w:p>
            <w:r/>
            <w:r>
              <w:rPr>
                <w:b w:val="0"/>
                <w:sz w:val="16"/>
              </w:rPr>
              <w:t>Emphasis on HD graphical rivalry and cutting-edge compute performance</w:t>
            </w:r>
          </w:p>
        </w:tc>
        <w:tc>
          <w:tcPr>
            <w:tcW w:type="dxa" w:w="3293"/>
            <w:vAlign w:val="center"/>
          </w:tcPr>
          <w:p>
            <w:r/>
            <w:r>
              <w:rPr>
                <w:b w:val="0"/>
                <w:sz w:val="16"/>
              </w:rPr>
              <w:t>Relative strategic priority—not proof of unit manufacturing cost</w:t>
            </w:r>
          </w:p>
        </w:tc>
      </w:tr>
      <w:tr>
        <w:trPr>
          <w:cantSplit/>
        </w:trPr>
        <w:tc>
          <w:tcPr>
            <w:tcW w:type="dxa" w:w="3293"/>
            <w:vAlign w:val="center"/>
            <w:shd w:fill="EEF3F6"/>
          </w:tcPr>
          <w:p>
            <w:r/>
            <w:r>
              <w:rPr>
                <w:b w:val="0"/>
                <w:sz w:val="16"/>
              </w:rPr>
              <w:t>Raise</w:t>
            </w:r>
          </w:p>
        </w:tc>
        <w:tc>
          <w:tcPr>
            <w:tcW w:type="dxa" w:w="3293"/>
            <w:vAlign w:val="center"/>
            <w:shd w:fill="EEF3F6"/>
          </w:tcPr>
          <w:p>
            <w:r/>
            <w:r>
              <w:rPr>
                <w:b w:val="0"/>
                <w:sz w:val="16"/>
              </w:rPr>
              <w:t>Immediate comprehensibility, household participation, demonstrations, shared fun</w:t>
            </w:r>
          </w:p>
        </w:tc>
        <w:tc>
          <w:tcPr>
            <w:tcW w:type="dxa" w:w="3293"/>
            <w:vAlign w:val="center"/>
            <w:shd w:fill="EEF3F6"/>
          </w:tcPr>
          <w:p>
            <w:r/>
            <w:r>
              <w:rPr>
                <w:b w:val="0"/>
                <w:sz w:val="16"/>
              </w:rPr>
              <w:t>Nintendo also retained games for core players</w:t>
            </w:r>
          </w:p>
        </w:tc>
      </w:tr>
      <w:tr>
        <w:trPr>
          <w:cantSplit/>
        </w:trPr>
        <w:tc>
          <w:tcPr>
            <w:tcW w:type="dxa" w:w="3293"/>
            <w:vAlign w:val="center"/>
          </w:tcPr>
          <w:p>
            <w:r/>
            <w:r>
              <w:rPr>
                <w:b w:val="0"/>
                <w:sz w:val="16"/>
              </w:rPr>
              <w:t>Create</w:t>
            </w:r>
          </w:p>
        </w:tc>
        <w:tc>
          <w:tcPr>
            <w:tcW w:type="dxa" w:w="3293"/>
            <w:vAlign w:val="center"/>
          </w:tcPr>
          <w:p>
            <w:r/>
            <w:r>
              <w:rPr>
                <w:b w:val="0"/>
                <w:sz w:val="16"/>
              </w:rPr>
              <w:t>Mass-market motion-based interaction; Wii Sports as a common social entry point</w:t>
            </w:r>
          </w:p>
        </w:tc>
        <w:tc>
          <w:tcPr>
            <w:tcW w:type="dxa" w:w="3293"/>
            <w:vAlign w:val="center"/>
          </w:tcPr>
          <w:p>
            <w:r/>
            <w:r>
              <w:rPr>
                <w:b w:val="0"/>
                <w:sz w:val="16"/>
              </w:rPr>
              <w:t>Motion sensing itself was not invented by Nintendo</w:t>
            </w:r>
          </w:p>
        </w:tc>
      </w:tr>
    </w:tbl>
    <w:p>
      <w:pPr>
        <w:spacing w:after="0"/>
      </w:pPr>
    </w:p>
    <w:p>
      <w:r>
        <w:rPr>
          <w:i/>
          <w:color w:val="5B6978"/>
          <w:sz w:val="16"/>
        </w:rPr>
        <w:t>ERRC categories are the author’s analytical synthesis, guided by the INSEAD noncustomer case and Nintendo’s launch-era statements; they are not Nintendo’s published internal ERRC grid. [S2, S7–S8]</w:t>
      </w:r>
    </w:p>
    <w:p>
      <w:pPr>
        <w:pStyle w:val="Heading2"/>
      </w:pPr>
      <w:r>
        <w:t>3.3 Evidence beyond sales: did Wii change who played?</w:t>
      </w:r>
    </w:p>
    <w:p>
      <w:r>
        <w:t>Iwata presented Nintendo-commissioned demographic studies in May 2009. The Japanese program interviewed roughly 3,000 people twice yearly in Osaka and Tokyo from 2005; US research later involved over 4,500 respondents in several rounds. Nintendo distinguished active users (played in the past year), “sleep” users (previously played but not in the past year), and nonusers (never played). [S9]</w:t>
      </w:r>
    </w:p>
    <w:p>
      <w:r>
        <w:t>The company said the active gaming population in its Japanese surveys rose by approximately nine million around January 2007, immediately after Wii’s launch; in the US it described growth of approximately thirty million across its sampled period, with Nintendo DS and Wii contributing. It also reported that among DS/Wii customers surveyed in the US, women represented 49%. None of these numbers should be attributed to Wii alone: Wii and DS launches overlap, samples and age coverage changed, and the surveys report population estimates rather than randomized causation. [S9]</w:t>
      </w:r>
    </w:p>
    <w:p>
      <w:r>
        <w:t>In a different household measure, Nintendo reported around 3.4 Wii users per household in both Japan and the United States by 2009, versus the roughly 2.2–2.8 previous home-console range it had cited in 2008. This supports the shared-household proposition, but it is Nintendo’s proprietary survey measure and not an independently replicated finding. [S10]</w:t>
      </w:r>
    </w:p>
    <w:p>
      <w:pPr>
        <w:pStyle w:val="Heading2"/>
      </w:pPr>
      <w:r>
        <w:t>3.4 Commercial outcome—and financial caution</w:t>
      </w:r>
    </w:p>
    <w:p>
      <w:r>
        <w:t>At the fiscal year ending March 2009, Nintendo reported consolidated sales of approximately ¥1,838.6 billion and operating profit of approximately ¥555.2 billion. These were records for the company at the time, but the amounts include DS and other businesses; they are not Wii-only sales or Wii-only margins. [S11]</w:t>
      </w:r>
    </w:p>
    <w:p>
      <w:r>
        <w:t>Wii lifetime hardware sales eventually reached 101.63 million units, with 921.85 million lifetime Wii software units recorded on Nintendo’s investor website. The game Wii Sports is reported at 82.79 million units as of September 2016, but this includes bundle copies: do not interpret the entire figure as standalone purchases. [S1, S12]</w:t>
      </w:r>
    </w:p>
    <w:p>
      <w:r>
        <w:t>Those outcomes establish exceptional market acceptance; they do not automatically establish how much incremental industry demand Wii created, how profitable each Wii unit was, or how much sales were transferred from other consoles. The strongest causal explanation remains a triangulation of Nintendo’s ex-ante stated mission, product design, documented usage changes, and commercial performance. [S7–S12]</w:t>
      </w:r>
    </w:p>
    <w:p>
      <w:pPr>
        <w:pStyle w:val="Heading1"/>
      </w:pPr>
      <w:r>
        <w:t>4. 2010–2016: the blue ocean is contested</w:t>
      </w:r>
    </w:p>
    <w:p>
      <w:r>
        <w:t>Other platform owners responded to the market for more accessible and embodied interactions. Sony announced PlayStation Move for PS3 in June 2010, with North American availability in September 2010; Microsoft brought Kinect to the Xbox 360 era. The rise of mobile games further supplied inexpensive, approachable substitutes. The authors’ INSEAD Switch case emphasizes smartphones and tablets as a major threat to Wii’s broadened customer base. [S3, S13]</w:t>
      </w:r>
    </w:p>
    <w:p>
      <w:r>
        <w:t>Nintendo’s own 2007 remarks already warned against assuming the early demand surge would last indefinitely. Iwata acknowledged that merely continuing the same initiatives would not indefinitely sustain sales. This is a useful reminder that market creation is a time-bounded strategic opening, not a guaranteed durable monopoly. [S14]</w:t>
      </w:r>
    </w:p>
    <w:p>
      <w:pPr>
        <w:pStyle w:val="Heading2"/>
      </w:pPr>
      <w:r>
        <w:t>4.1 The Wii U (2012): innovation without a legible proposition</w:t>
      </w:r>
    </w:p>
    <w:p>
      <w:r>
        <w:t>Nintendo launched the Wii U in North America on 18 November 2012. Its GamePad included a second touchscreen and permitted some play without occupying the television, but it remained dependent on the console unit rather than being an independent portable successor. The product was innovative in several respects, so treating it as simply a lack of innovation would be misleading. [S15–S16]</w:t>
      </w:r>
    </w:p>
    <w:p>
      <w:r>
        <w:t>By January 2014 Nintendo publicly acknowledged the difficulty. Iwata told investors that Nintendo had failed to communicate the benefits of the GamePad and had not convincingly answered how Wii U differed from Wii or why a consumer should upgrade. Some consumers even appeared to think the GamePad was an accessory for Wii. Nintendo also identified a need for stronger software demonstrating unique GamePad experiences. [S16]</w:t>
      </w:r>
    </w:p>
    <w:p>
      <w:r>
        <w:t>Wii U lifetime hardware sales eventually ended at 13.56 million units, dramatically below Wii’s 101.63 million. That gap is descriptive, not a controlled test of the Blue Ocean framework. A full causal explanation should also examine software cadence, marketing, price, technical positioning, mobile competition, and alternative gaming devices. [S1, S16]</w:t>
      </w:r>
    </w:p>
    <w:tbl>
      <w:tblPr>
        <w:tblW w:type="auto" w:w="0"/>
        <w:tblLook w:firstColumn="1" w:firstRow="1" w:lastColumn="0" w:lastRow="0" w:noHBand="0" w:noVBand="1" w:val="04A0"/>
      </w:tblPr>
      <w:tblGrid>
        <w:gridCol w:w="9878"/>
      </w:tblGrid>
      <w:tr>
        <w:tc>
          <w:tcPr>
            <w:tcW w:type="dxa" w:w="9878"/>
            <w:shd w:fill="EAF2F6"/>
          </w:tcPr>
          <w:p>
            <w:r/>
            <w:r>
              <w:rPr>
                <w:b/>
                <w:color w:val="1C6F7E"/>
                <w:sz w:val="18"/>
              </w:rPr>
              <w:t xml:space="preserve">THE TRANSITION QUESTION  </w:t>
            </w:r>
            <w:r>
              <w:t>If Wii reduced barriers to playing, what distinct barrier did Wii U remove? Was the benefit obvious enough to make consumers change behavior?</w:t>
            </w:r>
          </w:p>
        </w:tc>
      </w:tr>
    </w:tbl>
    <w:p>
      <w:pPr>
        <w:spacing w:after="0"/>
      </w:pPr>
    </w:p>
    <w:p>
      <w:pPr>
        <w:pStyle w:val="Heading1"/>
      </w:pPr>
      <w:r>
        <w:t>5. Switch (2017): a second, different strategic move</w:t>
      </w:r>
    </w:p>
    <w:p>
      <w:pPr>
        <w:pStyle w:val="Heading2"/>
      </w:pPr>
      <w:r>
        <w:t>5.1 Product design: from household participation to flexible contexts</w:t>
      </w:r>
    </w:p>
    <w:p>
      <w:r>
        <w:t>Nintendo formally announced Switch for launch on 3 March 2017 at ¥29,980 before tax in Japan (US launch price $299.99). Unlike Wii U’s accessory-like tablet controller, the Switch screen housed a complete portable gaming system. The dock connected it to a television, while removable Joy-Con controllers supported solo and shared local play. Nintendo described a system that could adapt to the player’s location, the game, and personal preferences. [S5, S17]</w:t>
      </w:r>
    </w:p>
    <w:p>
      <w:r>
        <w:t>The original Switch offered TV, tabletop, and handheld modes; the same core games could be continued across settings. That combined the “depth” associated with home-console play and the mobility associated with handheld systems into one proposition. One could play on a living-room television, pick up the device for travel, or use a tabletop screen and detached controllers with another person. These are product attributes, not proof on their own that a new demographic entered gaming. [S5]</w:t>
      </w:r>
    </w:p>
    <w:p>
      <w:r>
        <w:t>Unlike the bundled Wii Sports proposition, Nintendo positioned Switch with substantial conventional game content from the outset: The Legend of Zelda: Breath of the Wild launched with the system, and 1-2-Switch showcased novel controller capabilities. Breath of the Wild also appeared on Wii U, underscoring continuity in Nintendo’s franchise portfolio. [S5]</w:t>
      </w:r>
    </w:p>
    <w:p>
      <w:pPr>
        <w:pStyle w:val="Heading2"/>
      </w:pPr>
      <w:r>
        <w:t>5.2 Proposed Switch ERRC (analytical—not official)</w:t>
      </w:r>
    </w:p>
    <w:tbl>
      <w:tblPr>
        <w:tblStyle w:val="TableGrid"/>
        <w:tblW w:type="auto" w:w="0"/>
        <w:jc w:val="center"/>
        <w:tblLook w:firstColumn="1" w:firstRow="1" w:lastColumn="0" w:lastRow="0" w:noHBand="0" w:noVBand="1" w:val="04A0"/>
      </w:tblPr>
      <w:tblGrid>
        <w:gridCol w:w="3293"/>
        <w:gridCol w:w="3293"/>
        <w:gridCol w:w="3293"/>
      </w:tblGrid>
      <w:tr>
        <w:trPr>
          <w:tblHeader/>
        </w:trPr>
        <w:tc>
          <w:tcPr>
            <w:tcW w:type="dxa" w:w="3293"/>
            <w:shd w:fill="203953"/>
            <w:vAlign w:val="center"/>
          </w:tcPr>
          <w:p>
            <w:r/>
            <w:r>
              <w:rPr>
                <w:b/>
                <w:color w:val="FFFFFF"/>
                <w:sz w:val="16"/>
              </w:rPr>
              <w:t>Four action</w:t>
            </w:r>
          </w:p>
        </w:tc>
        <w:tc>
          <w:tcPr>
            <w:tcW w:type="dxa" w:w="3293"/>
            <w:shd w:fill="203953"/>
            <w:vAlign w:val="center"/>
          </w:tcPr>
          <w:p>
            <w:r/>
            <w:r>
              <w:rPr>
                <w:b/>
                <w:color w:val="FFFFFF"/>
                <w:sz w:val="16"/>
              </w:rPr>
              <w:t>Illustrative Switch interpretation</w:t>
            </w:r>
          </w:p>
        </w:tc>
        <w:tc>
          <w:tcPr>
            <w:tcW w:type="dxa" w:w="3293"/>
            <w:shd w:fill="203953"/>
            <w:vAlign w:val="center"/>
          </w:tcPr>
          <w:p>
            <w:r/>
            <w:r>
              <w:rPr>
                <w:b/>
                <w:color w:val="FFFFFF"/>
                <w:sz w:val="16"/>
              </w:rPr>
              <w:t>Risk / limitation</w:t>
            </w:r>
          </w:p>
        </w:tc>
      </w:tr>
      <w:tr>
        <w:trPr>
          <w:cantSplit/>
        </w:trPr>
        <w:tc>
          <w:tcPr>
            <w:tcW w:type="dxa" w:w="3293"/>
            <w:vAlign w:val="center"/>
            <w:shd w:fill="EEF3F6"/>
          </w:tcPr>
          <w:p>
            <w:r/>
            <w:r>
              <w:rPr>
                <w:b w:val="0"/>
                <w:sz w:val="16"/>
              </w:rPr>
              <w:t>Eliminate</w:t>
            </w:r>
          </w:p>
        </w:tc>
        <w:tc>
          <w:tcPr>
            <w:tcW w:type="dxa" w:w="3293"/>
            <w:vAlign w:val="center"/>
            <w:shd w:fill="EEF3F6"/>
          </w:tcPr>
          <w:p>
            <w:r/>
            <w:r>
              <w:rPr>
                <w:b w:val="0"/>
                <w:sz w:val="16"/>
              </w:rPr>
              <w:t>Forced choice of a single primary place to play: TV-only home console or standalone handheld</w:t>
            </w:r>
          </w:p>
        </w:tc>
        <w:tc>
          <w:tcPr>
            <w:tcW w:type="dxa" w:w="3293"/>
            <w:vAlign w:val="center"/>
            <w:shd w:fill="EEF3F6"/>
          </w:tcPr>
          <w:p>
            <w:r/>
            <w:r>
              <w:rPr>
                <w:b w:val="0"/>
                <w:sz w:val="16"/>
              </w:rPr>
              <w:t>Other portable and hybrid concepts already existed</w:t>
            </w:r>
          </w:p>
        </w:tc>
      </w:tr>
      <w:tr>
        <w:trPr>
          <w:cantSplit/>
        </w:trPr>
        <w:tc>
          <w:tcPr>
            <w:tcW w:type="dxa" w:w="3293"/>
            <w:vAlign w:val="center"/>
          </w:tcPr>
          <w:p>
            <w:r/>
            <w:r>
              <w:rPr>
                <w:b w:val="0"/>
                <w:sz w:val="16"/>
              </w:rPr>
              <w:t>Reduce</w:t>
            </w:r>
          </w:p>
        </w:tc>
        <w:tc>
          <w:tcPr>
            <w:tcW w:type="dxa" w:w="3293"/>
            <w:vAlign w:val="center"/>
          </w:tcPr>
          <w:p>
            <w:r/>
            <w:r>
              <w:rPr>
                <w:b w:val="0"/>
                <w:sz w:val="16"/>
              </w:rPr>
              <w:t>Dependence on maximizing high-end hardware specifications or TV-tethered play</w:t>
            </w:r>
          </w:p>
        </w:tc>
        <w:tc>
          <w:tcPr>
            <w:tcW w:type="dxa" w:w="3293"/>
            <w:vAlign w:val="center"/>
          </w:tcPr>
          <w:p>
            <w:r/>
            <w:r>
              <w:rPr>
                <w:b w:val="0"/>
                <w:sz w:val="16"/>
              </w:rPr>
              <w:t>Trade-offs included battery life and graphics relative to rivals</w:t>
            </w:r>
          </w:p>
        </w:tc>
      </w:tr>
      <w:tr>
        <w:trPr>
          <w:cantSplit/>
        </w:trPr>
        <w:tc>
          <w:tcPr>
            <w:tcW w:type="dxa" w:w="3293"/>
            <w:vAlign w:val="center"/>
            <w:shd w:fill="EEF3F6"/>
          </w:tcPr>
          <w:p>
            <w:r/>
            <w:r>
              <w:rPr>
                <w:b w:val="0"/>
                <w:sz w:val="16"/>
              </w:rPr>
              <w:t>Raise</w:t>
            </w:r>
          </w:p>
        </w:tc>
        <w:tc>
          <w:tcPr>
            <w:tcW w:type="dxa" w:w="3293"/>
            <w:vAlign w:val="center"/>
            <w:shd w:fill="EEF3F6"/>
          </w:tcPr>
          <w:p>
            <w:r/>
            <w:r>
              <w:rPr>
                <w:b w:val="0"/>
                <w:sz w:val="16"/>
              </w:rPr>
              <w:t>Portability, continuity, ease of local shared play, choice over play context</w:t>
            </w:r>
          </w:p>
        </w:tc>
        <w:tc>
          <w:tcPr>
            <w:tcW w:type="dxa" w:w="3293"/>
            <w:vAlign w:val="center"/>
            <w:shd w:fill="EEF3F6"/>
          </w:tcPr>
          <w:p>
            <w:r/>
            <w:r>
              <w:rPr>
                <w:b w:val="0"/>
                <w:sz w:val="16"/>
              </w:rPr>
              <w:t>Not the same as attracting first-time gamers</w:t>
            </w:r>
          </w:p>
        </w:tc>
      </w:tr>
      <w:tr>
        <w:trPr>
          <w:cantSplit/>
        </w:trPr>
        <w:tc>
          <w:tcPr>
            <w:tcW w:type="dxa" w:w="3293"/>
            <w:vAlign w:val="center"/>
          </w:tcPr>
          <w:p>
            <w:r/>
            <w:r>
              <w:rPr>
                <w:b w:val="0"/>
                <w:sz w:val="16"/>
              </w:rPr>
              <w:t>Create</w:t>
            </w:r>
          </w:p>
        </w:tc>
        <w:tc>
          <w:tcPr>
            <w:tcW w:type="dxa" w:w="3293"/>
            <w:vAlign w:val="center"/>
          </w:tcPr>
          <w:p>
            <w:r/>
            <w:r>
              <w:rPr>
                <w:b w:val="0"/>
                <w:sz w:val="16"/>
              </w:rPr>
              <w:t>Unified hybrid form factor; detachable Joy-Con multiplayer; seamless handoff from dock to handheld</w:t>
            </w:r>
          </w:p>
        </w:tc>
        <w:tc>
          <w:tcPr>
            <w:tcW w:type="dxa" w:w="3293"/>
            <w:vAlign w:val="center"/>
          </w:tcPr>
          <w:p>
            <w:r/>
            <w:r>
              <w:rPr>
                <w:b w:val="0"/>
                <w:sz w:val="16"/>
              </w:rPr>
              <w:t>Compelling software and familiar IP remained essential</w:t>
            </w:r>
          </w:p>
        </w:tc>
      </w:tr>
    </w:tbl>
    <w:p>
      <w:pPr>
        <w:spacing w:after="0"/>
      </w:pPr>
    </w:p>
    <w:p>
      <w:r>
        <w:rPr>
          <w:i/>
          <w:color w:val="5B6978"/>
          <w:sz w:val="16"/>
        </w:rPr>
        <w:t>This table is a strategic interpretation of Nintendo’s 2017 press release and the INSEAD/Darden teaching cases. It should not be represented as quantitative customer research. [S3–S5]</w:t>
      </w:r>
    </w:p>
    <w:p>
      <w:pPr>
        <w:pStyle w:val="Heading2"/>
      </w:pPr>
      <w:r>
        <w:t>5.3 A key contrast: Switch was not a replay of Wii</w:t>
      </w:r>
    </w:p>
    <w:p>
      <w:r>
        <w:t>The Wii’s noncustomer thesis is unusually explicit in Iwata’s 2006 speech and Nintendo’s 2009 surveys. The Switch thesis is more defensibly expressed as expansion of use-cases and reconciliation of previously separate platform categories. Its most likely early adopters included existing Nintendo fans attracted by major franchises, according to contemporary skeptical coverage from WIRED. It is therefore too strong to claim the Switch reproduced Wii’s non-gamer expansion without comparable user-demographic evidence. [S5, S7, S9, S18]</w:t>
      </w:r>
    </w:p>
    <w:p>
      <w:r>
        <w:t>A valuable point for discussion is that established customers and noncustomers are not mutually exclusive. A new value curve can attract conventional gamers through superior convenience even if it does not create a wholly new demographic. The question is what alternative activities or devices Nintendo displaced, complemented, or combined—not merely whether every Switch buyer had never owned a console. [S3–S5, S18]</w:t>
      </w:r>
    </w:p>
    <w:p>
      <w:pPr>
        <w:pStyle w:val="Heading1"/>
      </w:pPr>
      <w:r>
        <w:t>6. Comparing the results</w:t>
      </w:r>
    </w:p>
    <w:p>
      <w:r>
        <w:t>Nintendo’s current investor site provides a consistent worldwide consolidated life-to-date comparison through 30 June 2026. Original Nintendo Switch hardware totaled 156.59 million units, compared with Wii 101.63 million, Wii U 13.56 million, and GameCube 21.74 million. Switch 2 appears as a separate category and should not be added to Switch to inflate the original platform’s result. [S1]</w:t>
      </w:r>
    </w:p>
    <w:p>
      <w:r>
        <w:drawing>
          <wp:inline xmlns:a="http://schemas.openxmlformats.org/drawingml/2006/main" xmlns:pic="http://schemas.openxmlformats.org/drawingml/2006/picture">
            <wp:extent cx="5989320" cy="2489604"/>
            <wp:docPr id="1" name="Picture 1"/>
            <wp:cNvGraphicFramePr>
              <a:graphicFrameLocks noChangeAspect="1"/>
            </wp:cNvGraphicFramePr>
            <a:graphic>
              <a:graphicData uri="http://schemas.openxmlformats.org/drawingml/2006/picture">
                <pic:pic>
                  <pic:nvPicPr>
                    <pic:cNvPr id="0" name="nintendo_sales.png"/>
                    <pic:cNvPicPr/>
                  </pic:nvPicPr>
                  <pic:blipFill>
                    <a:blip r:embed="rId11"/>
                    <a:stretch>
                      <a:fillRect/>
                    </a:stretch>
                  </pic:blipFill>
                  <pic:spPr>
                    <a:xfrm>
                      <a:off x="0" y="0"/>
                      <a:ext cx="5989320" cy="2489604"/>
                    </a:xfrm>
                    <a:prstGeom prst="rect"/>
                  </pic:spPr>
                </pic:pic>
              </a:graphicData>
            </a:graphic>
          </wp:inline>
        </w:drawing>
      </w:r>
    </w:p>
    <w:p>
      <w:r>
        <w:rPr>
          <w:i/>
          <w:color w:val="5B6978"/>
          <w:sz w:val="16"/>
        </w:rPr>
        <w:t>Figure 1. Nintendo worldwide consolidated life-to-date hardware unit sales (millions), reported as of 30 June 2026. Source: Nintendo IR [S1].</w:t>
      </w:r>
    </w:p>
    <w:tbl>
      <w:tblPr>
        <w:tblStyle w:val="TableGrid"/>
        <w:tblW w:type="auto" w:w="0"/>
        <w:jc w:val="center"/>
        <w:tblLook w:firstColumn="1" w:firstRow="1" w:lastColumn="0" w:lastRow="0" w:noHBand="0" w:noVBand="1" w:val="04A0"/>
      </w:tblPr>
      <w:tblGrid>
        <w:gridCol w:w="2469"/>
        <w:gridCol w:w="2469"/>
        <w:gridCol w:w="2469"/>
        <w:gridCol w:w="2469"/>
      </w:tblGrid>
      <w:tr>
        <w:trPr>
          <w:tblHeader/>
        </w:trPr>
        <w:tc>
          <w:tcPr>
            <w:tcW w:type="dxa" w:w="2469"/>
            <w:shd w:fill="203953"/>
            <w:vAlign w:val="center"/>
          </w:tcPr>
          <w:p>
            <w:r/>
            <w:r>
              <w:rPr>
                <w:b/>
                <w:color w:val="FFFFFF"/>
                <w:sz w:val="16"/>
              </w:rPr>
              <w:t>Measure</w:t>
            </w:r>
          </w:p>
        </w:tc>
        <w:tc>
          <w:tcPr>
            <w:tcW w:type="dxa" w:w="2469"/>
            <w:shd w:fill="203953"/>
            <w:vAlign w:val="center"/>
          </w:tcPr>
          <w:p>
            <w:r/>
            <w:r>
              <w:rPr>
                <w:b/>
                <w:color w:val="FFFFFF"/>
                <w:sz w:val="16"/>
              </w:rPr>
              <w:t>Wii</w:t>
            </w:r>
          </w:p>
        </w:tc>
        <w:tc>
          <w:tcPr>
            <w:tcW w:type="dxa" w:w="2469"/>
            <w:shd w:fill="203953"/>
            <w:vAlign w:val="center"/>
          </w:tcPr>
          <w:p>
            <w:r/>
            <w:r>
              <w:rPr>
                <w:b/>
                <w:color w:val="FFFFFF"/>
                <w:sz w:val="16"/>
              </w:rPr>
              <w:t>Wii U</w:t>
            </w:r>
          </w:p>
        </w:tc>
        <w:tc>
          <w:tcPr>
            <w:tcW w:type="dxa" w:w="2469"/>
            <w:shd w:fill="203953"/>
            <w:vAlign w:val="center"/>
          </w:tcPr>
          <w:p>
            <w:r/>
            <w:r>
              <w:rPr>
                <w:b/>
                <w:color w:val="FFFFFF"/>
                <w:sz w:val="16"/>
              </w:rPr>
              <w:t>Original Switch family</w:t>
            </w:r>
          </w:p>
        </w:tc>
      </w:tr>
      <w:tr>
        <w:trPr>
          <w:cantSplit/>
        </w:trPr>
        <w:tc>
          <w:tcPr>
            <w:tcW w:type="dxa" w:w="2469"/>
            <w:vAlign w:val="center"/>
            <w:shd w:fill="EEF3F6"/>
          </w:tcPr>
          <w:p>
            <w:r/>
            <w:r>
              <w:rPr>
                <w:b w:val="0"/>
                <w:sz w:val="16"/>
              </w:rPr>
              <w:t>Worldwide hardware</w:t>
            </w:r>
          </w:p>
        </w:tc>
        <w:tc>
          <w:tcPr>
            <w:tcW w:type="dxa" w:w="2469"/>
            <w:vAlign w:val="center"/>
            <w:shd w:fill="EEF3F6"/>
          </w:tcPr>
          <w:p>
            <w:r/>
            <w:r>
              <w:rPr>
                <w:b w:val="0"/>
                <w:sz w:val="16"/>
              </w:rPr>
              <w:t>101.63m</w:t>
            </w:r>
          </w:p>
        </w:tc>
        <w:tc>
          <w:tcPr>
            <w:tcW w:type="dxa" w:w="2469"/>
            <w:vAlign w:val="center"/>
            <w:shd w:fill="EEF3F6"/>
          </w:tcPr>
          <w:p>
            <w:r/>
            <w:r>
              <w:rPr>
                <w:b w:val="0"/>
                <w:sz w:val="16"/>
              </w:rPr>
              <w:t>13.56m</w:t>
            </w:r>
          </w:p>
        </w:tc>
        <w:tc>
          <w:tcPr>
            <w:tcW w:type="dxa" w:w="2469"/>
            <w:vAlign w:val="center"/>
            <w:shd w:fill="EEF3F6"/>
          </w:tcPr>
          <w:p>
            <w:r/>
            <w:r>
              <w:rPr>
                <w:b w:val="0"/>
                <w:sz w:val="16"/>
              </w:rPr>
              <w:t>156.59m</w:t>
            </w:r>
          </w:p>
        </w:tc>
      </w:tr>
      <w:tr>
        <w:trPr>
          <w:cantSplit/>
        </w:trPr>
        <w:tc>
          <w:tcPr>
            <w:tcW w:type="dxa" w:w="2469"/>
            <w:vAlign w:val="center"/>
          </w:tcPr>
          <w:p>
            <w:r/>
            <w:r>
              <w:rPr>
                <w:b w:val="0"/>
                <w:sz w:val="16"/>
              </w:rPr>
              <w:t>Worldwide software</w:t>
            </w:r>
          </w:p>
        </w:tc>
        <w:tc>
          <w:tcPr>
            <w:tcW w:type="dxa" w:w="2469"/>
            <w:vAlign w:val="center"/>
          </w:tcPr>
          <w:p>
            <w:r/>
            <w:r>
              <w:rPr>
                <w:b w:val="0"/>
                <w:sz w:val="16"/>
              </w:rPr>
              <w:t>921.85m</w:t>
            </w:r>
          </w:p>
        </w:tc>
        <w:tc>
          <w:tcPr>
            <w:tcW w:type="dxa" w:w="2469"/>
            <w:vAlign w:val="center"/>
          </w:tcPr>
          <w:p>
            <w:r/>
            <w:r>
              <w:rPr>
                <w:b w:val="0"/>
                <w:sz w:val="16"/>
              </w:rPr>
              <w:t>103.60m</w:t>
            </w:r>
          </w:p>
        </w:tc>
        <w:tc>
          <w:tcPr>
            <w:tcW w:type="dxa" w:w="2469"/>
            <w:vAlign w:val="center"/>
          </w:tcPr>
          <w:p>
            <w:r/>
            <w:r>
              <w:rPr>
                <w:b w:val="0"/>
                <w:sz w:val="16"/>
              </w:rPr>
              <w:t>1,561.95m</w:t>
            </w:r>
          </w:p>
        </w:tc>
      </w:tr>
      <w:tr>
        <w:trPr>
          <w:cantSplit/>
        </w:trPr>
        <w:tc>
          <w:tcPr>
            <w:tcW w:type="dxa" w:w="2469"/>
            <w:vAlign w:val="center"/>
            <w:shd w:fill="EEF3F6"/>
          </w:tcPr>
          <w:p>
            <w:r/>
            <w:r>
              <w:rPr>
                <w:b w:val="0"/>
                <w:sz w:val="16"/>
              </w:rPr>
              <w:t>Software ÷ hardware (derived)</w:t>
            </w:r>
          </w:p>
        </w:tc>
        <w:tc>
          <w:tcPr>
            <w:tcW w:type="dxa" w:w="2469"/>
            <w:vAlign w:val="center"/>
            <w:shd w:fill="EEF3F6"/>
          </w:tcPr>
          <w:p>
            <w:r/>
            <w:r>
              <w:rPr>
                <w:b w:val="0"/>
                <w:sz w:val="16"/>
              </w:rPr>
              <w:t>9.07</w:t>
            </w:r>
          </w:p>
        </w:tc>
        <w:tc>
          <w:tcPr>
            <w:tcW w:type="dxa" w:w="2469"/>
            <w:vAlign w:val="center"/>
            <w:shd w:fill="EEF3F6"/>
          </w:tcPr>
          <w:p>
            <w:r/>
            <w:r>
              <w:rPr>
                <w:b w:val="0"/>
                <w:sz w:val="16"/>
              </w:rPr>
              <w:t>7.64</w:t>
            </w:r>
          </w:p>
        </w:tc>
        <w:tc>
          <w:tcPr>
            <w:tcW w:type="dxa" w:w="2469"/>
            <w:vAlign w:val="center"/>
            <w:shd w:fill="EEF3F6"/>
          </w:tcPr>
          <w:p>
            <w:r/>
            <w:r>
              <w:rPr>
                <w:b w:val="0"/>
                <w:sz w:val="16"/>
              </w:rPr>
              <w:t>9.97</w:t>
            </w:r>
          </w:p>
        </w:tc>
      </w:tr>
      <w:tr>
        <w:trPr>
          <w:cantSplit/>
        </w:trPr>
        <w:tc>
          <w:tcPr>
            <w:tcW w:type="dxa" w:w="2469"/>
            <w:vAlign w:val="center"/>
          </w:tcPr>
          <w:p>
            <w:r/>
            <w:r>
              <w:rPr>
                <w:b w:val="0"/>
                <w:sz w:val="16"/>
              </w:rPr>
              <w:t>Example flagship software</w:t>
            </w:r>
          </w:p>
        </w:tc>
        <w:tc>
          <w:tcPr>
            <w:tcW w:type="dxa" w:w="2469"/>
            <w:vAlign w:val="center"/>
          </w:tcPr>
          <w:p>
            <w:r/>
            <w:r>
              <w:rPr>
                <w:b w:val="0"/>
                <w:sz w:val="16"/>
              </w:rPr>
              <w:t>Wii Sports (82.79m, Sep. 2016)</w:t>
            </w:r>
          </w:p>
        </w:tc>
        <w:tc>
          <w:tcPr>
            <w:tcW w:type="dxa" w:w="2469"/>
            <w:vAlign w:val="center"/>
          </w:tcPr>
          <w:p>
            <w:r/>
            <w:r>
              <w:rPr>
                <w:b w:val="0"/>
                <w:sz w:val="16"/>
              </w:rPr>
              <w:t>Mario Kart 8 (8.46m, Mar. 2026)</w:t>
            </w:r>
          </w:p>
        </w:tc>
        <w:tc>
          <w:tcPr>
            <w:tcW w:type="dxa" w:w="2469"/>
            <w:vAlign w:val="center"/>
          </w:tcPr>
          <w:p>
            <w:r/>
            <w:r>
              <w:rPr>
                <w:b w:val="0"/>
                <w:sz w:val="16"/>
              </w:rPr>
              <w:t>Mario Kart 8 Deluxe (71.53m, Jun. 2026)</w:t>
            </w:r>
          </w:p>
        </w:tc>
      </w:tr>
    </w:tbl>
    <w:p>
      <w:pPr>
        <w:spacing w:after="0"/>
      </w:pPr>
    </w:p>
    <w:p>
      <w:r>
        <w:rPr>
          <w:i/>
          <w:color w:val="5B6978"/>
          <w:sz w:val="16"/>
        </w:rPr>
        <w:t>Software ÷ hardware is arithmetic from cumulative totals, not a reliable platform engagement or per-user consumption measure: software includes bundles, platforms have different lifespans, and hardware owners can share, resell, or replace devices. Flagship game cut-off dates differ. [S1, S12, S19–S20]</w:t>
      </w:r>
    </w:p>
    <w:p>
      <w:r>
        <w:t>For the Switch, Mario Kart 8 Deluxe had sold 71.53 million units by June 2026; Animal Crossing: New Horizons 50.29 million; The Legend of Zelda: Breath of the Wild 34.06 million. Nintendo’s software figures include downloads and some bundles. The strong first-party catalog is one competing explanation for Switch success alongside hybrid hardware. [S19]</w:t>
      </w:r>
    </w:p>
    <w:p>
      <w:r>
        <w:t>On shorter time horizons, contemporary reported Nintendo financial results put Switch at 17.79 million cumulative units by March 2018—about a year after launch—showing that the outcome was not only a long-tail phenomenon. The number includes hardware sold across the first thirteen months, not a calendar-2017 figure. [S21]</w:t>
      </w:r>
    </w:p>
    <w:p>
      <w:pPr>
        <w:pStyle w:val="Heading1"/>
      </w:pPr>
      <w:r>
        <w:t>7. Could other explanations account for Nintendo’s successes?</w:t>
      </w:r>
    </w:p>
    <w:tbl>
      <w:tblPr>
        <w:tblStyle w:val="TableGrid"/>
        <w:tblW w:type="auto" w:w="0"/>
        <w:jc w:val="center"/>
        <w:tblLook w:firstColumn="1" w:firstRow="1" w:lastColumn="0" w:lastRow="0" w:noHBand="0" w:noVBand="1" w:val="04A0"/>
      </w:tblPr>
      <w:tblGrid>
        <w:gridCol w:w="3293"/>
        <w:gridCol w:w="3293"/>
        <w:gridCol w:w="3293"/>
      </w:tblGrid>
      <w:tr>
        <w:trPr>
          <w:tblHeader/>
        </w:trPr>
        <w:tc>
          <w:tcPr>
            <w:tcW w:type="dxa" w:w="3293"/>
            <w:shd w:fill="203953"/>
            <w:vAlign w:val="center"/>
          </w:tcPr>
          <w:p>
            <w:r/>
            <w:r>
              <w:rPr>
                <w:b/>
                <w:color w:val="FFFFFF"/>
                <w:sz w:val="16"/>
              </w:rPr>
              <w:t>Interpretation</w:t>
            </w:r>
          </w:p>
        </w:tc>
        <w:tc>
          <w:tcPr>
            <w:tcW w:type="dxa" w:w="3293"/>
            <w:shd w:fill="203953"/>
            <w:vAlign w:val="center"/>
          </w:tcPr>
          <w:p>
            <w:r/>
            <w:r>
              <w:rPr>
                <w:b/>
                <w:color w:val="FFFFFF"/>
                <w:sz w:val="16"/>
              </w:rPr>
              <w:t>Evidence in favor</w:t>
            </w:r>
          </w:p>
        </w:tc>
        <w:tc>
          <w:tcPr>
            <w:tcW w:type="dxa" w:w="3293"/>
            <w:shd w:fill="203953"/>
            <w:vAlign w:val="center"/>
          </w:tcPr>
          <w:p>
            <w:r/>
            <w:r>
              <w:rPr>
                <w:b/>
                <w:color w:val="FFFFFF"/>
                <w:sz w:val="16"/>
              </w:rPr>
              <w:t>Reason for caution</w:t>
            </w:r>
          </w:p>
        </w:tc>
      </w:tr>
      <w:tr>
        <w:trPr>
          <w:cantSplit/>
        </w:trPr>
        <w:tc>
          <w:tcPr>
            <w:tcW w:type="dxa" w:w="3293"/>
            <w:vAlign w:val="center"/>
            <w:shd w:fill="EEF3F6"/>
          </w:tcPr>
          <w:p>
            <w:r/>
            <w:r>
              <w:rPr>
                <w:b w:val="0"/>
                <w:sz w:val="16"/>
              </w:rPr>
              <w:t>Blue Ocean / value innovation</w:t>
            </w:r>
          </w:p>
        </w:tc>
        <w:tc>
          <w:tcPr>
            <w:tcW w:type="dxa" w:w="3293"/>
            <w:vAlign w:val="center"/>
            <w:shd w:fill="EEF3F6"/>
          </w:tcPr>
          <w:p>
            <w:r/>
            <w:r>
              <w:rPr>
                <w:b w:val="0"/>
                <w:sz w:val="16"/>
              </w:rPr>
              <w:t>Wii: explicit outreach to noncustomers; Switch: hybrid contexts and differentiated controls</w:t>
            </w:r>
          </w:p>
        </w:tc>
        <w:tc>
          <w:tcPr>
            <w:tcW w:type="dxa" w:w="3293"/>
            <w:vAlign w:val="center"/>
            <w:shd w:fill="EEF3F6"/>
          </w:tcPr>
          <w:p>
            <w:r/>
            <w:r>
              <w:rPr>
                <w:b w:val="0"/>
                <w:sz w:val="16"/>
              </w:rPr>
              <w:t>Does not uniquely identify additional consumers or quantify producer cost structure</w:t>
            </w:r>
          </w:p>
        </w:tc>
      </w:tr>
      <w:tr>
        <w:trPr>
          <w:cantSplit/>
        </w:trPr>
        <w:tc>
          <w:tcPr>
            <w:tcW w:type="dxa" w:w="3293"/>
            <w:vAlign w:val="center"/>
          </w:tcPr>
          <w:p>
            <w:r/>
            <w:r>
              <w:rPr>
                <w:b w:val="0"/>
                <w:sz w:val="16"/>
              </w:rPr>
              <w:t>Nintendo IP and quality</w:t>
            </w:r>
          </w:p>
        </w:tc>
        <w:tc>
          <w:tcPr>
            <w:tcW w:type="dxa" w:w="3293"/>
            <w:vAlign w:val="center"/>
          </w:tcPr>
          <w:p>
            <w:r/>
            <w:r>
              <w:rPr>
                <w:b w:val="0"/>
                <w:sz w:val="16"/>
              </w:rPr>
              <w:t>Zelda, Mario, Mario Kart, Pokémon-related experiences; high software totals</w:t>
            </w:r>
          </w:p>
        </w:tc>
        <w:tc>
          <w:tcPr>
            <w:tcW w:type="dxa" w:w="3293"/>
            <w:vAlign w:val="center"/>
          </w:tcPr>
          <w:p>
            <w:r/>
            <w:r>
              <w:rPr>
                <w:b w:val="0"/>
                <w:sz w:val="16"/>
              </w:rPr>
              <w:t>Software and hardware strategies are intertwined</w:t>
            </w:r>
          </w:p>
        </w:tc>
      </w:tr>
      <w:tr>
        <w:trPr>
          <w:cantSplit/>
        </w:trPr>
        <w:tc>
          <w:tcPr>
            <w:tcW w:type="dxa" w:w="3293"/>
            <w:vAlign w:val="center"/>
            <w:shd w:fill="EEF3F6"/>
          </w:tcPr>
          <w:p>
            <w:r/>
            <w:r>
              <w:rPr>
                <w:b w:val="0"/>
                <w:sz w:val="16"/>
              </w:rPr>
              <w:t>Favorable positioning / price</w:t>
            </w:r>
          </w:p>
        </w:tc>
        <w:tc>
          <w:tcPr>
            <w:tcW w:type="dxa" w:w="3293"/>
            <w:vAlign w:val="center"/>
            <w:shd w:fill="EEF3F6"/>
          </w:tcPr>
          <w:p>
            <w:r/>
            <w:r>
              <w:rPr>
                <w:b w:val="0"/>
                <w:sz w:val="16"/>
              </w:rPr>
              <w:t>Wii US launch $249.99; Switch US launch $299.99</w:t>
            </w:r>
          </w:p>
        </w:tc>
        <w:tc>
          <w:tcPr>
            <w:tcW w:type="dxa" w:w="3293"/>
            <w:vAlign w:val="center"/>
            <w:shd w:fill="EEF3F6"/>
          </w:tcPr>
          <w:p>
            <w:r/>
            <w:r>
              <w:rPr>
                <w:b w:val="0"/>
                <w:sz w:val="16"/>
              </w:rPr>
              <w:t>Prices, bundles, and performance are not directly comparable across eras</w:t>
            </w:r>
          </w:p>
        </w:tc>
      </w:tr>
      <w:tr>
        <w:trPr>
          <w:cantSplit/>
        </w:trPr>
        <w:tc>
          <w:tcPr>
            <w:tcW w:type="dxa" w:w="3293"/>
            <w:vAlign w:val="center"/>
          </w:tcPr>
          <w:p>
            <w:r/>
            <w:r>
              <w:rPr>
                <w:b w:val="0"/>
                <w:sz w:val="16"/>
              </w:rPr>
              <w:t>Distribution / adoption timing</w:t>
            </w:r>
          </w:p>
        </w:tc>
        <w:tc>
          <w:tcPr>
            <w:tcW w:type="dxa" w:w="3293"/>
            <w:vAlign w:val="center"/>
          </w:tcPr>
          <w:p>
            <w:r/>
            <w:r>
              <w:rPr>
                <w:b w:val="0"/>
                <w:sz w:val="16"/>
              </w:rPr>
              <w:t>Popular accessible household play; portable convenience</w:t>
            </w:r>
          </w:p>
        </w:tc>
        <w:tc>
          <w:tcPr>
            <w:tcW w:type="dxa" w:w="3293"/>
            <w:vAlign w:val="center"/>
          </w:tcPr>
          <w:p>
            <w:r/>
            <w:r>
              <w:rPr>
                <w:b w:val="0"/>
                <w:sz w:val="16"/>
              </w:rPr>
              <w:t>Supply constraints, 3DS legacy, COVID-era usage shifts, and competition differ</w:t>
            </w:r>
          </w:p>
        </w:tc>
      </w:tr>
      <w:tr>
        <w:trPr>
          <w:cantSplit/>
        </w:trPr>
        <w:tc>
          <w:tcPr>
            <w:tcW w:type="dxa" w:w="3293"/>
            <w:vAlign w:val="center"/>
            <w:shd w:fill="EEF3F6"/>
          </w:tcPr>
          <w:p>
            <w:r/>
            <w:r>
              <w:rPr>
                <w:b w:val="0"/>
                <w:sz w:val="16"/>
              </w:rPr>
              <w:t>Brand and platform ecosystems</w:t>
            </w:r>
          </w:p>
        </w:tc>
        <w:tc>
          <w:tcPr>
            <w:tcW w:type="dxa" w:w="3293"/>
            <w:vAlign w:val="center"/>
            <w:shd w:fill="EEF3F6"/>
          </w:tcPr>
          <w:p>
            <w:r/>
            <w:r>
              <w:rPr>
                <w:b w:val="0"/>
                <w:sz w:val="16"/>
              </w:rPr>
              <w:t>Nintendo family-friendly brand, first-party development, third parties</w:t>
            </w:r>
          </w:p>
        </w:tc>
        <w:tc>
          <w:tcPr>
            <w:tcW w:type="dxa" w:w="3293"/>
            <w:vAlign w:val="center"/>
            <w:shd w:fill="EEF3F6"/>
          </w:tcPr>
          <w:p>
            <w:r/>
            <w:r>
              <w:rPr>
                <w:b w:val="0"/>
                <w:sz w:val="16"/>
              </w:rPr>
              <w:t>Success should not be credited to one isolated hardware feature</w:t>
            </w:r>
          </w:p>
        </w:tc>
      </w:tr>
    </w:tbl>
    <w:p>
      <w:pPr>
        <w:spacing w:after="0"/>
      </w:pPr>
    </w:p>
    <w:p>
      <w:r>
        <w:t>Michael Lenox’s 2019 Darden commentary endorses a Blue Ocean view while emphasizing that Nintendo’s major hardware bets can also fail. By contrast, January 2017 WIRED coverage observed that Switch’s initial software slate particularly courted existing Nintendo fans, a plausible challenge to treating Switch as the same noncustomer strategy as Wii. Neither source is a controlled empirical attribution study. [S4, S18]</w:t>
      </w:r>
    </w:p>
    <w:p>
      <w:pPr>
        <w:pStyle w:val="Heading1"/>
      </w:pPr>
      <w:r>
        <w:t>8. Conclusions for a strategy class</w:t>
      </w:r>
    </w:p>
    <w:p>
      <w:r>
        <w:t>First, Wii is a strong example of choosing noncustomers as the strategic reference point rather than accepting the incumbent performance benchmark. Second, Switch shows a distinct form of market creation: integrating historically separate use-cases into a portable-home hybrid system. Third, Wii U demonstrates that novelty is not sufficient if customers cannot understand the improved value or find software that makes the new capability worth adopting.</w:t>
      </w:r>
    </w:p>
    <w:p>
      <w:r>
        <w:t>The most defensible conclusion is not “Nintendo won because it pursued blue oceans twice.” It is that Nintendo repeatedly tried to shift the basis of competition, succeeding when hardware choices, content, price, and use-context created a coherent value proposition—and encountering difficulty when that proposition was unclear or imitated. Market-creating strategy complements, rather than replaces, execution and competitive analysis. [S0, S3–S5, S16, S18]</w:t>
      </w:r>
    </w:p>
    <w:p>
      <w:pPr>
        <w:pStyle w:val="Heading1"/>
      </w:pPr>
      <w:r>
        <w:t>9. Teaching questions (for end-of-lecture discussion)</w:t>
      </w:r>
    </w:p>
    <w:p>
      <w:r>
        <w:t>1. In 2005, what assumptions about gaming would you have challenged before deciding how to respond to PS3 and Xbox 360?</w:t>
      </w:r>
    </w:p>
    <w:p>
      <w:r>
        <w:t>2. Is the Wii a low-cost strategy, a differentiation strategy, or an attempt to transcend that trade-off? Which specific evidence is missing?</w:t>
      </w:r>
    </w:p>
    <w:p>
      <w:r>
        <w:t>3. Which observable facts are convincing evidence of new demand for Wii, and which merely show market share or commercial success?</w:t>
      </w:r>
    </w:p>
    <w:p>
      <w:r>
        <w:t>4. Would Wii U have worked if the marketing had been clearer? What alternative explanations remain?</w:t>
      </w:r>
    </w:p>
    <w:p>
      <w:r>
        <w:t>5. Did Switch create a new market, combine existing markets, or simply offer a better product to Nintendo’s existing customers? What data would adjudicate the claim?</w:t>
      </w:r>
    </w:p>
    <w:p>
      <w:r>
        <w:t>6. If you were designing the next Nintendo strategic move, how would you avoid confusing novelty with actual buyer utility?</w:t>
      </w:r>
    </w:p>
    <w:tbl>
      <w:tblPr>
        <w:tblW w:type="auto" w:w="0"/>
        <w:tblLook w:firstColumn="1" w:firstRow="1" w:lastColumn="0" w:lastRow="0" w:noHBand="0" w:noVBand="1" w:val="04A0"/>
      </w:tblPr>
      <w:tblGrid>
        <w:gridCol w:w="9878"/>
      </w:tblGrid>
      <w:tr>
        <w:tc>
          <w:tcPr>
            <w:tcW w:type="dxa" w:w="9878"/>
            <w:shd w:fill="EAF2F6"/>
          </w:tcPr>
          <w:p>
            <w:r/>
            <w:r>
              <w:rPr>
                <w:b/>
                <w:color w:val="1C6F7E"/>
                <w:sz w:val="18"/>
              </w:rPr>
              <w:t xml:space="preserve">INSTRUCTOR CAUTION  </w:t>
            </w:r>
            <w:r>
              <w:t>Do not show students the retrospective lifetime-sales chart until after the decision framing if the aim is to reconstruct the uncertainty Nintendo faced in 2005 and 2016. The interactive mechanics and visual implementation are intentionally out of scope here.</w:t>
            </w:r>
          </w:p>
        </w:tc>
      </w:tr>
    </w:tbl>
    <w:p>
      <w:pPr>
        <w:spacing w:after="0"/>
      </w:pPr>
    </w:p>
    <w:p>
      <w:pPr>
        <w:pStyle w:val="Heading1"/>
      </w:pPr>
      <w:r>
        <w:t>10. Evidence audit: claims, caveats and what not to say</w:t>
      </w:r>
    </w:p>
    <w:tbl>
      <w:tblPr>
        <w:tblStyle w:val="TableGrid"/>
        <w:tblW w:type="auto" w:w="0"/>
        <w:jc w:val="center"/>
        <w:tblLook w:firstColumn="1" w:firstRow="1" w:lastColumn="0" w:lastRow="0" w:noHBand="0" w:noVBand="1" w:val="04A0"/>
      </w:tblPr>
      <w:tblGrid>
        <w:gridCol w:w="3293"/>
        <w:gridCol w:w="3293"/>
        <w:gridCol w:w="3293"/>
      </w:tblGrid>
      <w:tr>
        <w:trPr>
          <w:tblHeader/>
        </w:trPr>
        <w:tc>
          <w:tcPr>
            <w:tcW w:type="dxa" w:w="3293"/>
            <w:shd w:fill="203953"/>
            <w:vAlign w:val="center"/>
          </w:tcPr>
          <w:p>
            <w:r/>
            <w:r>
              <w:rPr>
                <w:b/>
                <w:color w:val="FFFFFF"/>
                <w:sz w:val="16"/>
              </w:rPr>
              <w:t>Claim</w:t>
            </w:r>
          </w:p>
        </w:tc>
        <w:tc>
          <w:tcPr>
            <w:tcW w:type="dxa" w:w="3293"/>
            <w:shd w:fill="203953"/>
            <w:vAlign w:val="center"/>
          </w:tcPr>
          <w:p>
            <w:r/>
            <w:r>
              <w:rPr>
                <w:b/>
                <w:color w:val="FFFFFF"/>
                <w:sz w:val="16"/>
              </w:rPr>
              <w:t>Status</w:t>
            </w:r>
          </w:p>
        </w:tc>
        <w:tc>
          <w:tcPr>
            <w:tcW w:type="dxa" w:w="3293"/>
            <w:shd w:fill="203953"/>
            <w:vAlign w:val="center"/>
          </w:tcPr>
          <w:p>
            <w:r/>
            <w:r>
              <w:rPr>
                <w:b/>
                <w:color w:val="FFFFFF"/>
                <w:sz w:val="16"/>
              </w:rPr>
              <w:t>Caveat</w:t>
            </w:r>
          </w:p>
        </w:tc>
      </w:tr>
      <w:tr>
        <w:trPr>
          <w:cantSplit/>
        </w:trPr>
        <w:tc>
          <w:tcPr>
            <w:tcW w:type="dxa" w:w="3293"/>
            <w:vAlign w:val="center"/>
            <w:shd w:fill="EEF3F6"/>
          </w:tcPr>
          <w:p>
            <w:r/>
            <w:r>
              <w:rPr>
                <w:b w:val="0"/>
                <w:sz w:val="16"/>
              </w:rPr>
              <w:t>Wii was designed to reach lapsed gamers and non-gamers</w:t>
            </w:r>
          </w:p>
        </w:tc>
        <w:tc>
          <w:tcPr>
            <w:tcW w:type="dxa" w:w="3293"/>
            <w:vAlign w:val="center"/>
            <w:shd w:fill="EEF3F6"/>
          </w:tcPr>
          <w:p>
            <w:r/>
            <w:r>
              <w:rPr>
                <w:b w:val="0"/>
                <w:sz w:val="16"/>
              </w:rPr>
              <w:t>Strong primary evidence</w:t>
            </w:r>
          </w:p>
        </w:tc>
        <w:tc>
          <w:tcPr>
            <w:tcW w:type="dxa" w:w="3293"/>
            <w:vAlign w:val="center"/>
            <w:shd w:fill="EEF3F6"/>
          </w:tcPr>
          <w:p>
            <w:r/>
            <w:r>
              <w:rPr>
                <w:b w:val="0"/>
                <w:sz w:val="16"/>
              </w:rPr>
              <w:t>Iwata 2006 speech explicitly identifies both groups [S7]</w:t>
            </w:r>
          </w:p>
        </w:tc>
      </w:tr>
      <w:tr>
        <w:trPr>
          <w:cantSplit/>
        </w:trPr>
        <w:tc>
          <w:tcPr>
            <w:tcW w:type="dxa" w:w="3293"/>
            <w:vAlign w:val="center"/>
          </w:tcPr>
          <w:p>
            <w:r/>
            <w:r>
              <w:rPr>
                <w:b w:val="0"/>
                <w:sz w:val="16"/>
              </w:rPr>
              <w:t>Wii increased Nintendo household participation</w:t>
            </w:r>
          </w:p>
        </w:tc>
        <w:tc>
          <w:tcPr>
            <w:tcW w:type="dxa" w:w="3293"/>
            <w:vAlign w:val="center"/>
          </w:tcPr>
          <w:p>
            <w:r/>
            <w:r>
              <w:rPr>
                <w:b w:val="0"/>
                <w:sz w:val="16"/>
              </w:rPr>
              <w:t>Supported by Nintendo surveys</w:t>
            </w:r>
          </w:p>
        </w:tc>
        <w:tc>
          <w:tcPr>
            <w:tcW w:type="dxa" w:w="3293"/>
            <w:vAlign w:val="center"/>
          </w:tcPr>
          <w:p>
            <w:r/>
            <w:r>
              <w:rPr>
                <w:b w:val="0"/>
                <w:sz w:val="16"/>
              </w:rPr>
              <w:t>Proprietary data; not randomized; US/Japan figures not interchangeable [S9–S10]</w:t>
            </w:r>
          </w:p>
        </w:tc>
      </w:tr>
      <w:tr>
        <w:trPr>
          <w:cantSplit/>
        </w:trPr>
        <w:tc>
          <w:tcPr>
            <w:tcW w:type="dxa" w:w="3293"/>
            <w:vAlign w:val="center"/>
            <w:shd w:fill="EEF3F6"/>
          </w:tcPr>
          <w:p>
            <w:r/>
            <w:r>
              <w:rPr>
                <w:b w:val="0"/>
                <w:sz w:val="16"/>
              </w:rPr>
              <w:t>Wii caused +30m new US gamers</w:t>
            </w:r>
          </w:p>
        </w:tc>
        <w:tc>
          <w:tcPr>
            <w:tcW w:type="dxa" w:w="3293"/>
            <w:vAlign w:val="center"/>
            <w:shd w:fill="EEF3F6"/>
          </w:tcPr>
          <w:p>
            <w:r/>
            <w:r>
              <w:rPr>
                <w:b w:val="0"/>
                <w:sz w:val="16"/>
              </w:rPr>
              <w:t>Too strong</w:t>
            </w:r>
          </w:p>
        </w:tc>
        <w:tc>
          <w:tcPr>
            <w:tcW w:type="dxa" w:w="3293"/>
            <w:vAlign w:val="center"/>
            <w:shd w:fill="EEF3F6"/>
          </w:tcPr>
          <w:p>
            <w:r/>
            <w:r>
              <w:rPr>
                <w:b w:val="0"/>
                <w:sz w:val="16"/>
              </w:rPr>
              <w:t>Nintendo measured population expansion overlapping DS and Wii; causality not isolated [S9]</w:t>
            </w:r>
          </w:p>
        </w:tc>
      </w:tr>
      <w:tr>
        <w:trPr>
          <w:cantSplit/>
        </w:trPr>
        <w:tc>
          <w:tcPr>
            <w:tcW w:type="dxa" w:w="3293"/>
            <w:vAlign w:val="center"/>
          </w:tcPr>
          <w:p>
            <w:r/>
            <w:r>
              <w:rPr>
                <w:b w:val="0"/>
                <w:sz w:val="16"/>
              </w:rPr>
              <w:t>Wii was profitable because every Wii console was low-cost</w:t>
            </w:r>
          </w:p>
        </w:tc>
        <w:tc>
          <w:tcPr>
            <w:tcW w:type="dxa" w:w="3293"/>
            <w:vAlign w:val="center"/>
          </w:tcPr>
          <w:p>
            <w:r/>
            <w:r>
              <w:rPr>
                <w:b w:val="0"/>
                <w:sz w:val="16"/>
              </w:rPr>
              <w:t>Not established</w:t>
            </w:r>
          </w:p>
        </w:tc>
        <w:tc>
          <w:tcPr>
            <w:tcW w:type="dxa" w:w="3293"/>
            <w:vAlign w:val="center"/>
          </w:tcPr>
          <w:p>
            <w:r/>
            <w:r>
              <w:rPr>
                <w:b w:val="0"/>
                <w:sz w:val="16"/>
              </w:rPr>
              <w:t>Company-wide FY2009 margins mix Wii, DS, software, currency effects [S11]</w:t>
            </w:r>
          </w:p>
        </w:tc>
      </w:tr>
      <w:tr>
        <w:trPr>
          <w:cantSplit/>
        </w:trPr>
        <w:tc>
          <w:tcPr>
            <w:tcW w:type="dxa" w:w="3293"/>
            <w:vAlign w:val="center"/>
            <w:shd w:fill="EEF3F6"/>
          </w:tcPr>
          <w:p>
            <w:r/>
            <w:r>
              <w:rPr>
                <w:b w:val="0"/>
                <w:sz w:val="16"/>
              </w:rPr>
              <w:t>Wii U was a failure only because of its name</w:t>
            </w:r>
          </w:p>
        </w:tc>
        <w:tc>
          <w:tcPr>
            <w:tcW w:type="dxa" w:w="3293"/>
            <w:vAlign w:val="center"/>
            <w:shd w:fill="EEF3F6"/>
          </w:tcPr>
          <w:p>
            <w:r/>
            <w:r>
              <w:rPr>
                <w:b w:val="0"/>
                <w:sz w:val="16"/>
              </w:rPr>
              <w:t>Unsupported single cause</w:t>
            </w:r>
          </w:p>
        </w:tc>
        <w:tc>
          <w:tcPr>
            <w:tcW w:type="dxa" w:w="3293"/>
            <w:vAlign w:val="center"/>
            <w:shd w:fill="EEF3F6"/>
          </w:tcPr>
          <w:p>
            <w:r/>
            <w:r>
              <w:rPr>
                <w:b w:val="0"/>
                <w:sz w:val="16"/>
              </w:rPr>
              <w:t>Nintendo acknowledged communication and software issues; other factors existed [S16]</w:t>
            </w:r>
          </w:p>
        </w:tc>
      </w:tr>
      <w:tr>
        <w:trPr>
          <w:cantSplit/>
        </w:trPr>
        <w:tc>
          <w:tcPr>
            <w:tcW w:type="dxa" w:w="3293"/>
            <w:vAlign w:val="center"/>
          </w:tcPr>
          <w:p>
            <w:r/>
            <w:r>
              <w:rPr>
                <w:b w:val="0"/>
                <w:sz w:val="16"/>
              </w:rPr>
              <w:t>Switch created a new demographic of gamers</w:t>
            </w:r>
          </w:p>
        </w:tc>
        <w:tc>
          <w:tcPr>
            <w:tcW w:type="dxa" w:w="3293"/>
            <w:vAlign w:val="center"/>
          </w:tcPr>
          <w:p>
            <w:r/>
            <w:r>
              <w:rPr>
                <w:b w:val="0"/>
                <w:sz w:val="16"/>
              </w:rPr>
              <w:t>Open question</w:t>
            </w:r>
          </w:p>
        </w:tc>
        <w:tc>
          <w:tcPr>
            <w:tcW w:type="dxa" w:w="3293"/>
            <w:vAlign w:val="center"/>
          </w:tcPr>
          <w:p>
            <w:r/>
            <w:r>
              <w:rPr>
                <w:b w:val="0"/>
                <w:sz w:val="16"/>
              </w:rPr>
              <w:t>Strong commercial result; limited directly comparable noncustomer surveys [S5, S18]</w:t>
            </w:r>
          </w:p>
        </w:tc>
      </w:tr>
      <w:tr>
        <w:trPr>
          <w:cantSplit/>
        </w:trPr>
        <w:tc>
          <w:tcPr>
            <w:tcW w:type="dxa" w:w="3293"/>
            <w:vAlign w:val="center"/>
            <w:shd w:fill="EEF3F6"/>
          </w:tcPr>
          <w:p>
            <w:r/>
            <w:r>
              <w:rPr>
                <w:b w:val="0"/>
                <w:sz w:val="16"/>
              </w:rPr>
              <w:t>Switch beats Wii in lifetime hardware</w:t>
            </w:r>
          </w:p>
        </w:tc>
        <w:tc>
          <w:tcPr>
            <w:tcW w:type="dxa" w:w="3293"/>
            <w:vAlign w:val="center"/>
            <w:shd w:fill="EEF3F6"/>
          </w:tcPr>
          <w:p>
            <w:r/>
            <w:r>
              <w:rPr>
                <w:b w:val="0"/>
                <w:sz w:val="16"/>
              </w:rPr>
              <w:t>Verified</w:t>
            </w:r>
          </w:p>
        </w:tc>
        <w:tc>
          <w:tcPr>
            <w:tcW w:type="dxa" w:w="3293"/>
            <w:vAlign w:val="center"/>
            <w:shd w:fill="EEF3F6"/>
          </w:tcPr>
          <w:p>
            <w:r/>
            <w:r>
              <w:rPr>
                <w:b w:val="0"/>
                <w:sz w:val="16"/>
              </w:rPr>
              <w:t>156.59m vs 101.63m as of Jun 2026 [S1]</w:t>
            </w:r>
          </w:p>
        </w:tc>
      </w:tr>
      <w:tr>
        <w:trPr>
          <w:cantSplit/>
        </w:trPr>
        <w:tc>
          <w:tcPr>
            <w:tcW w:type="dxa" w:w="3293"/>
            <w:vAlign w:val="center"/>
          </w:tcPr>
          <w:p>
            <w:r/>
            <w:r>
              <w:rPr>
                <w:b w:val="0"/>
                <w:sz w:val="16"/>
              </w:rPr>
              <w:t>Wii outsold Xbox 360 + PS3 combined for their full lives</w:t>
            </w:r>
          </w:p>
        </w:tc>
        <w:tc>
          <w:tcPr>
            <w:tcW w:type="dxa" w:w="3293"/>
            <w:vAlign w:val="center"/>
          </w:tcPr>
          <w:p>
            <w:r/>
            <w:r>
              <w:rPr>
                <w:b w:val="0"/>
                <w:sz w:val="16"/>
              </w:rPr>
              <w:t>False as written</w:t>
            </w:r>
          </w:p>
        </w:tc>
        <w:tc>
          <w:tcPr>
            <w:tcW w:type="dxa" w:w="3293"/>
            <w:vAlign w:val="center"/>
          </w:tcPr>
          <w:p>
            <w:r/>
            <w:r>
              <w:rPr>
                <w:b w:val="0"/>
                <w:sz w:val="16"/>
              </w:rPr>
              <w:t>Some case summaries refer to an earlier window; do not imply a lifetime comparison [S3]</w:t>
            </w:r>
          </w:p>
        </w:tc>
      </w:tr>
    </w:tbl>
    <w:p>
      <w:pPr>
        <w:spacing w:after="0"/>
      </w:pPr>
    </w:p>
    <w:p>
      <w:pPr>
        <w:pStyle w:val="Heading1"/>
      </w:pPr>
      <w:r>
        <w:t>11. Annotated bibliography and evidence ledger</w:t>
      </w:r>
    </w:p>
    <w:p>
      <w:pPr>
        <w:spacing w:after="100"/>
      </w:pPr>
      <w:r>
        <w:rPr>
          <w:b/>
          <w:sz w:val="17"/>
        </w:rPr>
        <w:t>[S0]  Kim, W. Chan &amp; Renée Mauborgne (2004), “Blue Ocean Strategy,” Harvard Business Review.</w:t>
      </w:r>
      <w:r>
        <w:rPr>
          <w:color w:val="5B6978"/>
          <w:sz w:val="16"/>
        </w:rPr>
        <w:br/>
        <w:t>Assigned 23-page class reading; definitions, value innovation, strategic move, imitation.</w:t>
        <w:br/>
        <w:t>https://hbr.org/2004/10/blue-ocean-strategy</w:t>
      </w:r>
    </w:p>
    <w:p>
      <w:pPr>
        <w:spacing w:after="100"/>
      </w:pPr>
      <w:r>
        <w:rPr>
          <w:b/>
          <w:sz w:val="17"/>
        </w:rPr>
        <w:t>[S1]  Nintendo Investor Relations, Dedicated Video Game Sales Units (as of 30 Jun 2026).</w:t>
      </w:r>
      <w:r>
        <w:rPr>
          <w:color w:val="5B6978"/>
          <w:sz w:val="16"/>
        </w:rPr>
        <w:br/>
        <w:t>Primary worldwide hardware and software platform totals.</w:t>
        <w:br/>
        <w:t>https://www.nintendo.co.jp/ir/en/finance/hard_soft/index.html</w:t>
      </w:r>
    </w:p>
    <w:p>
      <w:pPr>
        <w:spacing w:after="100"/>
      </w:pPr>
      <w:r>
        <w:rPr>
          <w:b/>
          <w:sz w:val="17"/>
        </w:rPr>
        <w:t>[S2]  INSEAD, The Nintendo Wii: Lessons Learned from Noncustomers (Kim, Mauborgne, Hunter).</w:t>
      </w:r>
      <w:r>
        <w:rPr>
          <w:color w:val="5B6978"/>
          <w:sz w:val="16"/>
        </w:rPr>
        <w:br/>
        <w:t>Primary Blue Ocean teaching framework; abstract freely accessible, full case may require access.</w:t>
        <w:br/>
        <w:t>https://publishing.insead.edu/case/nintendo-wii-lessons-learned-noncustomers</w:t>
      </w:r>
    </w:p>
    <w:p>
      <w:pPr>
        <w:spacing w:after="100"/>
      </w:pPr>
      <w:r>
        <w:rPr>
          <w:b/>
          <w:sz w:val="17"/>
        </w:rPr>
        <w:t>[S3]  INSEAD, Nintendo Switch: Shifting from Market-Competing to Market-Creating Strategy (2019).</w:t>
      </w:r>
      <w:r>
        <w:rPr>
          <w:color w:val="5B6978"/>
          <w:sz w:val="16"/>
        </w:rPr>
        <w:br/>
        <w:t>Formal Wii→Wii U→Switch Blue Ocean case; interpretive account, full text access may require purchase.</w:t>
        <w:br/>
        <w:t>https://www.insead.edu/faculty-research/publications/case-studies/nintendo-switch-shifting-market-competing-market</w:t>
      </w:r>
    </w:p>
    <w:p>
      <w:pPr>
        <w:spacing w:after="100"/>
      </w:pPr>
      <w:r>
        <w:rPr>
          <w:b/>
          <w:sz w:val="17"/>
        </w:rPr>
        <w:t>[S4]  University of Virginia Darden, “Nintendo: Game for a Blue-Ocean Strategy” (11 Jun 2019).</w:t>
      </w:r>
      <w:r>
        <w:rPr>
          <w:color w:val="5B6978"/>
          <w:sz w:val="16"/>
        </w:rPr>
        <w:br/>
        <w:t>Independent business-school case synthesis and qualifications.</w:t>
        <w:br/>
        <w:t>https://news.darden.virginia.edu/articles/nintendo-game-for-a-blue-ocean-strategy</w:t>
      </w:r>
    </w:p>
    <w:p>
      <w:pPr>
        <w:spacing w:after="100"/>
      </w:pPr>
      <w:r>
        <w:rPr>
          <w:b/>
          <w:sz w:val="17"/>
        </w:rPr>
        <w:t>[S5]  Nintendo, Switch launch announcement (13 Jan 2017).</w:t>
      </w:r>
      <w:r>
        <w:rPr>
          <w:color w:val="5B6978"/>
          <w:sz w:val="16"/>
        </w:rPr>
        <w:br/>
        <w:t>Primary product specifications, modes, Joy-Con and launch software; 29,980 yen Japanese price.</w:t>
        <w:br/>
        <w:t>https://www.nintendo.co.jp/corporate/release/en/2017/170113.html</w:t>
      </w:r>
    </w:p>
    <w:p>
      <w:pPr>
        <w:spacing w:after="100"/>
      </w:pPr>
      <w:r>
        <w:rPr>
          <w:b/>
          <w:sz w:val="17"/>
        </w:rPr>
        <w:t>[S6]  Blue Ocean Strategy teaching materials: Nintendo Wii.</w:t>
      </w:r>
      <w:r>
        <w:rPr>
          <w:color w:val="5B6978"/>
          <w:sz w:val="16"/>
        </w:rPr>
        <w:br/>
        <w:t>Authors’ pedagogical objectives and linked supplementary teaching materials.</w:t>
        <w:br/>
        <w:t>https://www.blueoceanstrategy.com/teaching-materials/nintendo-wii/</w:t>
      </w:r>
    </w:p>
    <w:p>
      <w:pPr>
        <w:spacing w:after="100"/>
      </w:pPr>
      <w:r>
        <w:rPr>
          <w:b/>
          <w:sz w:val="17"/>
        </w:rPr>
        <w:t>[S7]  Nintendo media briefing, Iwata pre-E3 speech (May 2006), contemporaneous transcript.</w:t>
      </w:r>
      <w:r>
        <w:rPr>
          <w:color w:val="5B6978"/>
          <w:sz w:val="16"/>
        </w:rPr>
        <w:br/>
        <w:t>Primary speaker, transcript reprinted by Nintendo World Report; non-gamer and former-gamer goals.</w:t>
        <w:br/>
        <w:t>https://www.nintendoworldreport.com/news/11480/nintendo-media-briefing-speech</w:t>
      </w:r>
    </w:p>
    <w:p>
      <w:pPr>
        <w:spacing w:after="100"/>
      </w:pPr>
      <w:r>
        <w:rPr>
          <w:b/>
          <w:sz w:val="17"/>
        </w:rPr>
        <w:t>[S8]  Nintendo of America Wii launch announcement (14 Sep 2006), contemporaneous press-release reprint.</w:t>
      </w:r>
      <w:r>
        <w:rPr>
          <w:color w:val="5B6978"/>
          <w:sz w:val="16"/>
        </w:rPr>
        <w:br/>
        <w:t>US $249.99, 19 Nov launch, Wii Sports included.</w:t>
        <w:br/>
        <w:t>https://www.nintendoworldreport.com/pr/12050/official-wii-launch-details</w:t>
      </w:r>
    </w:p>
    <w:p>
      <w:pPr>
        <w:spacing w:after="100"/>
      </w:pPr>
      <w:r>
        <w:rPr>
          <w:b/>
          <w:sz w:val="17"/>
        </w:rPr>
        <w:t>[S9]  Iwata, Nintendo financial results presentation (8 May 2009), population-expansion survey.</w:t>
      </w:r>
      <w:r>
        <w:rPr>
          <w:color w:val="5B6978"/>
          <w:sz w:val="16"/>
        </w:rPr>
        <w:br/>
        <w:t>Definitions, sample limitations, Japan/US participation estimates, female share.</w:t>
        <w:br/>
        <w:t>https://www.nintendo.co.jp/ir/en/events/090508/02.html</w:t>
      </w:r>
    </w:p>
    <w:p>
      <w:pPr>
        <w:spacing w:after="100"/>
      </w:pPr>
      <w:r>
        <w:rPr>
          <w:b/>
          <w:sz w:val="17"/>
        </w:rPr>
        <w:t>[S10]  Iwata, Nintendo FY2009 presentation, household-users results.</w:t>
      </w:r>
      <w:r>
        <w:rPr>
          <w:color w:val="5B6978"/>
          <w:sz w:val="16"/>
        </w:rPr>
        <w:br/>
        <w:t>3.4 users per Wii household Japan and US, primary Nintendo survey.</w:t>
        <w:br/>
        <w:t>https://www.nintendo.co.jp/ir/en/events/090508/06.html</w:t>
      </w:r>
    </w:p>
    <w:p>
      <w:pPr>
        <w:spacing w:after="100"/>
      </w:pPr>
      <w:r>
        <w:rPr>
          <w:b/>
          <w:sz w:val="17"/>
        </w:rPr>
        <w:t>[S11]  Nintendo FY2009 financial-results briefing (8 May 2009).</w:t>
      </w:r>
      <w:r>
        <w:rPr>
          <w:color w:val="5B6978"/>
          <w:sz w:val="16"/>
        </w:rPr>
        <w:br/>
        <w:t>Consolidated ¥1,838.6bn sales, ¥555.2bn operating profit.</w:t>
        <w:br/>
        <w:t>https://www.nintendo.co.jp/ir/en/events/090508/index.html</w:t>
      </w:r>
    </w:p>
    <w:p>
      <w:pPr>
        <w:spacing w:after="100"/>
      </w:pPr>
      <w:r>
        <w:rPr>
          <w:b/>
          <w:sz w:val="17"/>
        </w:rPr>
        <w:t>[S12]  Nintendo, Wii top-selling title units (as of 30 Sep 2016).</w:t>
      </w:r>
      <w:r>
        <w:rPr>
          <w:color w:val="5B6978"/>
          <w:sz w:val="16"/>
        </w:rPr>
        <w:br/>
        <w:t>Wii Sports 82.79m includes hardware bundles.</w:t>
        <w:br/>
        <w:t>https://www.nintendo.co.jp/ir/en/sale/software/wii.html</w:t>
      </w:r>
    </w:p>
    <w:p>
      <w:pPr>
        <w:spacing w:after="100"/>
      </w:pPr>
      <w:r>
        <w:rPr>
          <w:b/>
          <w:sz w:val="17"/>
        </w:rPr>
        <w:t>[S13]  Sony Interactive Entertainment, PlayStation Move announcement (16 Jun 2010).</w:t>
      </w:r>
      <w:r>
        <w:rPr>
          <w:color w:val="5B6978"/>
          <w:sz w:val="16"/>
        </w:rPr>
        <w:br/>
        <w:t>Primary competitor motion-control response.</w:t>
        <w:br/>
        <w:t>https://sonyinteractive.com/en/press-releases/2010/playstationmove-motion-controller-to-hit-worldwide-market-starting-this-septemberfor-north-america/</w:t>
      </w:r>
    </w:p>
    <w:p>
      <w:pPr>
        <w:spacing w:after="100"/>
      </w:pPr>
      <w:r>
        <w:rPr>
          <w:b/>
          <w:sz w:val="17"/>
        </w:rPr>
        <w:t>[S14]  Nintendo, October 2007 conference remarks (Iwata).</w:t>
      </w:r>
      <w:r>
        <w:rPr>
          <w:color w:val="5B6978"/>
          <w:sz w:val="16"/>
        </w:rPr>
        <w:br/>
        <w:t>Primary statement that early Wii demand required continued strategic renewal.</w:t>
        <w:br/>
        <w:t>https://www.nintendo.co.jp/event/conference2007fall/e/06.html</w:t>
      </w:r>
    </w:p>
    <w:p>
      <w:pPr>
        <w:spacing w:after="100"/>
      </w:pPr>
      <w:r>
        <w:rPr>
          <w:b/>
          <w:sz w:val="17"/>
        </w:rPr>
        <w:t>[S15]  Nintendo Canada, Wii U launch press release (16 Nov 2012).</w:t>
      </w:r>
      <w:r>
        <w:rPr>
          <w:color w:val="5B6978"/>
          <w:sz w:val="16"/>
        </w:rPr>
        <w:br/>
        <w:t>North American Wii U date, GamePad, launch positioning.</w:t>
        <w:br/>
        <w:t>https://www.newswire.ca/news-releases/nintendos-wii-u-console-introduces-how-u-will-play-next-511175191.html</w:t>
      </w:r>
    </w:p>
    <w:p>
      <w:pPr>
        <w:spacing w:after="100"/>
      </w:pPr>
      <w:r>
        <w:rPr>
          <w:b/>
          <w:sz w:val="17"/>
        </w:rPr>
        <w:t>[S16]  Nintendo, corporate management briefing (30 Jan 2014).</w:t>
      </w:r>
      <w:r>
        <w:rPr>
          <w:color w:val="5B6978"/>
          <w:sz w:val="16"/>
        </w:rPr>
        <w:br/>
        <w:t>Primary acknowledgment of Wii U GamePad proposition and communication problems.</w:t>
        <w:br/>
        <w:t>https://www.nintendo.co.jp/ir/en/events/140130/index.html</w:t>
      </w:r>
    </w:p>
    <w:p>
      <w:pPr>
        <w:spacing w:after="100"/>
      </w:pPr>
      <w:r>
        <w:rPr>
          <w:b/>
          <w:sz w:val="17"/>
        </w:rPr>
        <w:t>[S17]  Ars Technica, Switch launch pricing and specifications (12 Jan 2017).</w:t>
      </w:r>
      <w:r>
        <w:rPr>
          <w:color w:val="5B6978"/>
          <w:sz w:val="16"/>
        </w:rPr>
        <w:br/>
        <w:t>US $299 launch price, 2017 contemporary reporting.</w:t>
        <w:br/>
        <w:t>https://arstechnica.com/gaming/2017/01/nintendo-switch-launches-worldwide-march-3-299-in-us/</w:t>
      </w:r>
    </w:p>
    <w:p>
      <w:pPr>
        <w:spacing w:after="100"/>
      </w:pPr>
      <w:r>
        <w:rPr>
          <w:b/>
          <w:sz w:val="17"/>
        </w:rPr>
        <w:t>[S18]  WIRED, “Nintendo Switch Ain’t for Mom and Pop—It’s for Die-Hard Fans” (18 Jan 2017).</w:t>
      </w:r>
      <w:r>
        <w:rPr>
          <w:color w:val="5B6978"/>
          <w:sz w:val="16"/>
        </w:rPr>
        <w:br/>
        <w:t>Contemporary skeptical reading of Switch’s audience; useful alternative hypothesis.</w:t>
        <w:br/>
        <w:t>https://www.wired.com/2017/01/nintendo-switch-analysis/</w:t>
      </w:r>
    </w:p>
    <w:p>
      <w:pPr>
        <w:spacing w:after="100"/>
      </w:pPr>
      <w:r>
        <w:rPr>
          <w:b/>
          <w:sz w:val="17"/>
        </w:rPr>
        <w:t>[S19]  Nintendo Investor Relations, top-selling Switch software (30 Jun 2026).</w:t>
      </w:r>
      <w:r>
        <w:rPr>
          <w:color w:val="5B6978"/>
          <w:sz w:val="16"/>
        </w:rPr>
        <w:br/>
        <w:t>Original Switch first-party game unit figures; bundled/downloaded units included.</w:t>
        <w:br/>
        <w:t>https://www.nintendo.co.jp/ir/en/finance/software/switch.html</w:t>
      </w:r>
    </w:p>
    <w:p>
      <w:pPr>
        <w:spacing w:after="100"/>
      </w:pPr>
      <w:r>
        <w:rPr>
          <w:b/>
          <w:sz w:val="17"/>
        </w:rPr>
        <w:t>[S20]  Nintendo Investor Relations, Wii U top-selling software.</w:t>
      </w:r>
      <w:r>
        <w:rPr>
          <w:color w:val="5B6978"/>
          <w:sz w:val="16"/>
        </w:rPr>
        <w:br/>
        <w:t>Wii U title sales (source has separate reference date).</w:t>
        <w:br/>
        <w:t>https://www.nintendo.co.jp/ir/en/finance/software/wiiu.html</w:t>
      </w:r>
    </w:p>
    <w:p>
      <w:pPr>
        <w:spacing w:after="100"/>
      </w:pPr>
      <w:r>
        <w:rPr>
          <w:b/>
          <w:sz w:val="17"/>
        </w:rPr>
        <w:t>[S21]  FY2018 Nintendo Financial Results (contemporary source summarizing Nintendo release).</w:t>
      </w:r>
      <w:r>
        <w:rPr>
          <w:color w:val="5B6978"/>
          <w:sz w:val="16"/>
        </w:rPr>
        <w:br/>
        <w:t>Switch 17.79m cumulative units by Mar 31, 2018; secondary report.</w:t>
        <w:br/>
        <w:t>https://www.perfectly-nintendo.com/nintendo-financial-results-fiscal-year-ended-march-31st-2018-april-1st-march-31st/</w:t>
      </w:r>
    </w:p>
    <w:p>
      <w:pPr>
        <w:spacing w:after="100"/>
      </w:pPr>
      <w:r>
        <w:rPr>
          <w:b/>
          <w:sz w:val="17"/>
        </w:rPr>
        <w:t>[S22]  Scott D. Anthony (2008), “Nintendo Wii’s Growing Market of ‘Nonconsumers’,” Harvard Business Review.</w:t>
      </w:r>
      <w:r>
        <w:rPr>
          <w:color w:val="5B6978"/>
          <w:sz w:val="16"/>
        </w:rPr>
        <w:br/>
        <w:t>Contemporary interpretation from disruption/nonconsumption perspective.</w:t>
        <w:br/>
        <w:t>https://hbr.org/2008/04/nintendo-wiis-growing-market-o</w:t>
      </w:r>
    </w:p>
    <w:sectPr w:rsidR="00FC693F" w:rsidRPr="0006063C" w:rsidSect="00034616">
      <w:headerReference w:type="default" r:id="rId9"/>
      <w:footerReference w:type="default" r:id="rId10"/>
      <w:pgSz w:w="12240" w:h="15840"/>
      <w:pgMar w:top="1080" w:right="1181" w:bottom="936"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978"/>
        <w:sz w:val="16"/>
      </w:rPr>
      <w:t xml:space="preserve">Research verified 21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978"/>
        <w:sz w:val="16"/>
      </w:rPr>
      <w:t>TEACHING CASE  /  NINTENDO &amp; BLUE OCEAN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A2B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A2B4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A2B44"/>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A2B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A2B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C6F7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