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REVISI BAB II</w:t>
      </w:r>
    </w:p>
    <w:p>
      <w:pPr>
        <w:jc w:val="center"/>
      </w:pPr>
      <w:r>
        <w:rPr>
          <w:rFonts w:ascii="Times New Roman" w:cs="Times New Roman" w:eastAsia="Times New Roman" w:hAnsi="Times New Roman"/>
          <w:b/>
          <w:bCs/>
          <w:sz w:val="24"/>
          <w:szCs w:val="24"/>
        </w:rPr>
        <w:t xml:space="preserve">LANDASAN TEORI</w:t>
      </w:r>
    </w:p>
    <w:p>
      <w:pPr>
        <w:spacing w:after="200"/>
        <w:jc w:val="center"/>
      </w:pPr>
      <w:r>
        <w:rPr>
          <w:rFonts w:ascii="Times New Roman" w:cs="Times New Roman" w:eastAsia="Times New Roman" w:hAnsi="Times New Roman"/>
          <w:b/>
          <w:bCs/>
          <w:color w:val="FF0000"/>
          <w:sz w:val="24"/>
          <w:szCs w:val="24"/>
        </w:rPr>
        <w:t xml:space="preserve">(Teks merah = bagian yang direvisi/ditambahkan)</w:t>
      </w:r>
    </w:p>
    <w:p>
      <w:pPr>
        <w:spacing w:before="3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1: Ganti Wikipedia dengan Sumber Primer</w:t>
      </w:r>
    </w:p>
    <w:p>
      <w:r>
        <w:rPr>
          <w:rFonts w:ascii="Times New Roman" w:cs="Times New Roman" w:eastAsia="Times New Roman" w:hAnsi="Times New Roman"/>
          <w:b/>
          <w:bCs/>
          <w:sz w:val="24"/>
          <w:szCs w:val="24"/>
        </w:rPr>
        <w:t xml:space="preserve">Sumber: Pembimbing 1 - Poin 2</w:t>
      </w:r>
    </w:p>
    <w:p>
      <w:r>
        <w:rPr>
          <w:rFonts w:ascii="Times New Roman" w:cs="Times New Roman" w:eastAsia="Times New Roman" w:hAnsi="Times New Roman"/>
          <w:b/>
          <w:bCs/>
          <w:sz w:val="24"/>
          <w:szCs w:val="24"/>
        </w:rPr>
        <w:t xml:space="preserve">Lokasi: BAB II, Subbab 2.1.1 dan 2.1.7</w:t>
      </w:r>
    </w:p>
    <w:p>
      <w:r>
        <w:rPr>
          <w:rFonts w:ascii="Times New Roman" w:cs="Times New Roman" w:eastAsia="Times New Roman" w:hAnsi="Times New Roman"/>
          <w:b/>
          <w:bCs/>
          <w:sz w:val="24"/>
          <w:szCs w:val="24"/>
        </w:rPr>
        <w:t xml:space="preserve">======================================================================</w:t>
      </w:r>
    </w:p>
    <w:p>
      <w:pPr>
        <w:spacing w:before="200"/>
      </w:pPr>
      <w:r>
        <w:rPr>
          <w:rFonts w:ascii="Times New Roman" w:cs="Times New Roman" w:eastAsia="Times New Roman" w:hAnsi="Times New Roman"/>
          <w:b/>
          <w:bCs/>
          <w:color w:val="FF0000"/>
          <w:sz w:val="24"/>
          <w:szCs w:val="24"/>
        </w:rPr>
        <w:t xml:space="preserve">Untuk Subbab 2.1.1 (NLP), ganti referensi Wikipedia dengan:</w:t>
      </w:r>
    </w:p>
    <w:p>
      <w:pPr>
        <w:spacing w:before="100"/>
        <w:ind w:left="720"/>
      </w:pPr>
      <w:r>
        <w:rPr>
          <w:rFonts w:ascii="Times New Roman" w:cs="Times New Roman" w:eastAsia="Times New Roman" w:hAnsi="Times New Roman"/>
          <w:color w:val="FF0000"/>
          <w:sz w:val="24"/>
          <w:szCs w:val="24"/>
        </w:rPr>
        <w:t xml:space="preserve">Natural Language Processing (NLP) adalah cabang dari kecerdasan buatan yang mempelajari interaksi antara komputer dan bahasa manusia. </w:t>
      </w:r>
      <w:r>
        <w:rPr>
          <w:rFonts w:ascii="Times New Roman" w:cs="Times New Roman" w:eastAsia="Times New Roman" w:hAnsi="Times New Roman"/>
          <w:b/>
          <w:bCs/>
          <w:color w:val="FF0000"/>
          <w:sz w:val="24"/>
          <w:szCs w:val="24"/>
        </w:rPr>
        <w:t xml:space="preserve">Menurut Jurafsky dan Martin (2023)</w:t>
      </w:r>
      <w:r>
        <w:rPr>
          <w:rFonts w:ascii="Times New Roman" w:cs="Times New Roman" w:eastAsia="Times New Roman" w:hAnsi="Times New Roman"/>
          <w:color w:val="FF0000"/>
          <w:sz w:val="24"/>
          <w:szCs w:val="24"/>
        </w:rPr>
        <w:t xml:space="preserve"> dalam buku "Speech and Language Processing", NLP mencakup aspek sintaksis yang berkaitan dengan struktur kalimat, semantik yang fokus pada pemahaman makna, serta pragmatik yang memperhatikan konteks penggunaan bahasa dalam situasi tertentu.</w:t>
      </w:r>
    </w:p>
    <w:p>
      <w:pPr>
        <w:spacing w:before="200"/>
      </w:pPr>
      <w:r>
        <w:rPr>
          <w:rFonts w:ascii="Times New Roman" w:cs="Times New Roman" w:eastAsia="Times New Roman" w:hAnsi="Times New Roman"/>
          <w:b/>
          <w:bCs/>
          <w:color w:val="FF0000"/>
          <w:sz w:val="24"/>
          <w:szCs w:val="24"/>
        </w:rPr>
        <w:t xml:space="preserve">Untuk Subbab 2.1.7 (Vector Database), ganti referensi Wikipedia dengan:</w:t>
      </w:r>
    </w:p>
    <w:p>
      <w:pPr>
        <w:spacing w:before="100"/>
        <w:ind w:left="720"/>
      </w:pPr>
      <w:r>
        <w:rPr>
          <w:rFonts w:ascii="Times New Roman" w:cs="Times New Roman" w:eastAsia="Times New Roman" w:hAnsi="Times New Roman"/>
          <w:color w:val="FF0000"/>
          <w:sz w:val="24"/>
          <w:szCs w:val="24"/>
        </w:rPr>
        <w:t xml:space="preserve">Vector database merupakan sistem penyimpanan data khusus yang dirancang untuk mengelola dan menyimpan embedding vektor. </w:t>
      </w:r>
      <w:r>
        <w:rPr>
          <w:rFonts w:ascii="Times New Roman" w:cs="Times New Roman" w:eastAsia="Times New Roman" w:hAnsi="Times New Roman"/>
          <w:b/>
          <w:bCs/>
          <w:color w:val="FF0000"/>
          <w:sz w:val="24"/>
          <w:szCs w:val="24"/>
        </w:rPr>
        <w:t xml:space="preserve">Johnson et al. (2019)</w:t>
      </w:r>
      <w:r>
        <w:rPr>
          <w:rFonts w:ascii="Times New Roman" w:cs="Times New Roman" w:eastAsia="Times New Roman" w:hAnsi="Times New Roman"/>
          <w:color w:val="FF0000"/>
          <w:sz w:val="24"/>
          <w:szCs w:val="24"/>
        </w:rPr>
        <w:t xml:space="preserve"> dalam paper "Billion-scale similarity search with GPUs" menjelaskan bahwa berbagai algoritma pengindeksan seperti FAISS (Facebook AI Similarity Search), HNSW, dan IVF digunakan untuk mengoptimalkan kecepatan dan efisiensi pencarian pada dataset berskala besar.</w:t>
      </w:r>
    </w:p>
    <w:p>
      <w:pPr>
        <w:spacing w:before="200"/>
      </w:pPr>
      <w:r>
        <w:rPr>
          <w:rFonts w:ascii="Times New Roman" w:cs="Times New Roman" w:eastAsia="Times New Roman" w:hAnsi="Times New Roman"/>
          <w:b/>
          <w:bCs/>
          <w:color w:val="FF0000"/>
          <w:sz w:val="24"/>
          <w:szCs w:val="24"/>
        </w:rPr>
        <w:t xml:space="preserve">Tambahkan ke Daftar Pustaka:</w:t>
      </w:r>
    </w:p>
    <w:p>
      <w:pPr>
        <w:spacing w:before="100"/>
        <w:ind w:left="720"/>
      </w:pPr>
      <w:r>
        <w:rPr>
          <w:rFonts w:ascii="Times New Roman" w:cs="Times New Roman" w:eastAsia="Times New Roman" w:hAnsi="Times New Roman"/>
          <w:color w:val="FF0000"/>
          <w:sz w:val="24"/>
          <w:szCs w:val="24"/>
        </w:rPr>
        <w:t xml:space="preserve">Jurafsky, D., &amp; Martin, J. H. (2023). Speech and Language Processing (3rd ed.). Stanford University. https://web.stanford.edu/~jurafsky/slp3/</w:t>
      </w:r>
    </w:p>
    <w:p>
      <w:pPr>
        <w:ind w:left="720"/>
      </w:pPr>
      <w:r>
        <w:rPr>
          <w:rFonts w:ascii="Times New Roman" w:cs="Times New Roman" w:eastAsia="Times New Roman" w:hAnsi="Times New Roman"/>
          <w:color w:val="FF0000"/>
          <w:sz w:val="24"/>
          <w:szCs w:val="24"/>
        </w:rPr>
        <w:t xml:space="preserve">Johnson, J., Douze, M., &amp; Jégou, H. (2019). Billion-scale similarity search with GPUs. IEEE Transactions on Big Data, 7(3), 535-547.</w:t>
      </w:r>
    </w:p>
    <w:p>
      <w:pPr>
        <w:spacing w:before="4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2: Tambah Subbab Keterkaitan Literatur dengan Metodologi</w:t>
      </w:r>
    </w:p>
    <w:p>
      <w:r>
        <w:rPr>
          <w:rFonts w:ascii="Times New Roman" w:cs="Times New Roman" w:eastAsia="Times New Roman" w:hAnsi="Times New Roman"/>
          <w:b/>
          <w:bCs/>
          <w:sz w:val="24"/>
          <w:szCs w:val="24"/>
        </w:rPr>
        <w:t xml:space="preserve">Sumber: Penguji 1 - Poin 2</w:t>
      </w:r>
    </w:p>
    <w:p>
      <w:r>
        <w:rPr>
          <w:rFonts w:ascii="Times New Roman" w:cs="Times New Roman" w:eastAsia="Times New Roman" w:hAnsi="Times New Roman"/>
          <w:b/>
          <w:bCs/>
          <w:sz w:val="24"/>
          <w:szCs w:val="24"/>
        </w:rPr>
        <w:t xml:space="preserve">Lokasi: BAB II, Subbab baru 2.2 di akhir bab</w:t>
      </w:r>
    </w:p>
    <w:p>
      <w:r>
        <w:rPr>
          <w:rFonts w:ascii="Times New Roman" w:cs="Times New Roman" w:eastAsia="Times New Roman" w:hAnsi="Times New Roman"/>
          <w:b/>
          <w:bCs/>
          <w:sz w:val="24"/>
          <w:szCs w:val="24"/>
        </w:rPr>
        <w:t xml:space="preserve">======================================================================</w:t>
      </w:r>
    </w:p>
    <w:p>
      <w:pPr>
        <w:spacing w:before="200"/>
      </w:pPr>
      <w:r>
        <w:rPr>
          <w:rFonts w:ascii="Times New Roman" w:cs="Times New Roman" w:eastAsia="Times New Roman" w:hAnsi="Times New Roman"/>
          <w:b/>
          <w:bCs/>
          <w:color w:val="FF0000"/>
          <w:sz w:val="24"/>
          <w:szCs w:val="24"/>
        </w:rPr>
        <w:t xml:space="preserve">2.2 Keterkaitan Landasan Teori dengan Pemilihan Parameter Penelitian</w:t>
      </w:r>
    </w:p>
    <w:p>
      <w:pPr>
        <w:spacing w:before="200"/>
        <w:ind w:left="720"/>
      </w:pPr>
      <w:r>
        <w:rPr>
          <w:rFonts w:ascii="Times New Roman" w:cs="Times New Roman" w:eastAsia="Times New Roman" w:hAnsi="Times New Roman"/>
          <w:color w:val="FF0000"/>
          <w:sz w:val="24"/>
          <w:szCs w:val="24"/>
        </w:rPr>
        <w:t xml:space="preserve">Landasan teori yang telah diuraikan pada subbab sebelumnya menjadi dasar dalam pemilihan parameter dan konfigurasi sistem pada penelitian ini. Berikut adalah keterkaitan antara teori dengan parameter yang digunakan:</w:t>
      </w:r>
    </w:p>
    <w:p>
      <w:pPr>
        <w:spacing w:before="200"/>
        <w:jc w:val="center"/>
      </w:pPr>
      <w:r>
        <w:rPr>
          <w:rFonts w:ascii="Times New Roman" w:cs="Times New Roman" w:eastAsia="Times New Roman" w:hAnsi="Times New Roman"/>
          <w:b/>
          <w:bCs/>
          <w:color w:val="FF0000"/>
          <w:sz w:val="24"/>
          <w:szCs w:val="24"/>
        </w:rPr>
        <w:t xml:space="preserve">Tabel 2.X Keterkaitan Landasan Teori dengan Parameter Penelitian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80"/>
        <w:gridCol w:w="2380"/>
        <w:gridCol w:w="2600"/>
      </w:tblGrid>
      <w:tr>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Teori (Subbab)</w:t>
            </w:r>
          </w:p>
        </w:tc>
        <w:tc>
          <w:tcPr>
            <w:tcW w:type="dxa" w:w="238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Parameter</w:t>
            </w:r>
          </w:p>
        </w:tc>
        <w:tc>
          <w:tcPr>
            <w:tcW w:type="dxa" w:w="238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Nilai</w:t>
            </w:r>
          </w:p>
        </w:tc>
        <w:tc>
          <w:tcPr>
            <w:tcW w:type="dxa" w:w="26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Justifikasi</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Large Language Models (2.1.2)</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Model LLM</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GPT-4o-mini</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Benchmark MMLU 82%, LMSYS rank 4 (skor 1275), trade-off performa dan biaya optimal</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Data Preprocessing &amp; Chunking (2.1.5)</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Chunking Strategy</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Semantic Chunking</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Bhat et al. (2025): semantic chunking meningkatkan kualitas retrieval dengan batas pemecahan kontekstual</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Data Preprocessing &amp; Chunking (2.1.5)</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Breakpoint Threshold</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Percentile 95</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Nilai tinggi untuk menjaga keutuhan konteks; pemecahan hanya pada perubahan semantik signifikan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Text Embedding (2.1.6)</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Embedding Model</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text-embedding-3-small</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Wang et al. (2024): model embedding berperan vital dalam menghubungkan query dengan knowledge base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Vector Database (2.1.7)</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Distance Function</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Cosine Similarity</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Standar untuk semantic search; mengukur kemiripan arah vektor tanpa terpengaruh magnitude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RAG (2.1.4)</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Top-K Documents</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k = 3</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Lewis et al. (2020): balance antara coverage (recall) dan precision; k=3 mencapai 95% recall dengan 100% precision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Prompt Engineering (2.1.8)</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Temperature (Info)</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0</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Chen et al. (2025): deterministik untuk konsistensi informasi; mengurangi hallucination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Prompt Engineering (2.1.8)</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Temperature (Trans)</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0.7</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Variasi natural untuk percakapan interaktif; balance kreativitas dan koherensi</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Pembelajaran Adaptif (2.1.9)</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Update Mechanism</w:t>
            </w:r>
          </w:p>
        </w:tc>
        <w:tc>
          <w:tcPr>
            <w:tcW w:type="dxa" w:w="23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Knowledge Base Update</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Jovanovic et al. (2024): incremental learning via embedding update tanpa retraining model</w:t>
            </w:r>
          </w:p>
        </w:tc>
      </w:tr>
    </w:tbl>
    <w:p>
      <w:pPr>
        <w:spacing w:before="200"/>
        <w:ind w:left="720"/>
      </w:pPr>
      <w:r>
        <w:rPr>
          <w:rFonts w:ascii="Times New Roman" w:cs="Times New Roman" w:eastAsia="Times New Roman" w:hAnsi="Times New Roman"/>
          <w:color w:val="FF0000"/>
          <w:sz w:val="24"/>
          <w:szCs w:val="24"/>
        </w:rPr>
        <w:t xml:space="preserve">Tabel di atas menunjukkan bagaimana setiap parameter yang digunakan dalam implementasi sistem didukung oleh landasan teori yang relevan. Justifikasi ini memastikan bahwa pemilihan parameter bersifat evidence-based dan tidak arbitrary.</w:t>
      </w:r>
    </w:p>
    <w:p>
      <w:pPr>
        <w:spacing w:before="300"/>
      </w:pPr>
      <w:r>
        <w:rPr>
          <w:rFonts w:ascii="Times New Roman" w:cs="Times New Roman" w:eastAsia="Times New Roman" w:hAnsi="Times New Roman"/>
          <w:b/>
          <w:bCs/>
          <w:color w:val="FF0000"/>
          <w:sz w:val="24"/>
          <w:szCs w:val="24"/>
        </w:rPr>
        <w:t xml:space="preserve">2.2.1 Justifikasi Pemilihan Model GPT-4o-mini</w:t>
      </w:r>
    </w:p>
    <w:p>
      <w:pPr>
        <w:spacing w:before="100"/>
        <w:ind w:left="720"/>
      </w:pPr>
      <w:r>
        <w:rPr>
          <w:rFonts w:ascii="Times New Roman" w:cs="Times New Roman" w:eastAsia="Times New Roman" w:hAnsi="Times New Roman"/>
          <w:color w:val="FF0000"/>
          <w:sz w:val="24"/>
          <w:szCs w:val="24"/>
        </w:rPr>
        <w:t xml:space="preserve">Pemilihan GPT-4o-mini sebagai model bahasa utama didasarkan pada analisis benchmark dan pertimbangan praktis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Model</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MMLU</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LMSYS Rank</w:t>
            </w:r>
          </w:p>
        </w:tc>
        <w:tc>
          <w:tcPr>
            <w:tcW w:type="dxa" w:w="386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Pertimbangan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GPT-4o</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88%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Performa terbaik, biaya tinggi</w:t>
            </w:r>
          </w:p>
        </w:tc>
      </w:tr>
      <w:tr>
        <w:tc>
          <w:tcPr>
            <w:tcW w:type="dxa" w:w="25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GPT-4o-mini</w:t>
            </w:r>
          </w:p>
        </w:tc>
        <w:tc>
          <w:tcPr>
            <w:tcW w:type="dxa" w:w="15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82%</w:t>
            </w:r>
          </w:p>
        </w:tc>
        <w:tc>
          <w:tcPr>
            <w:tcW w:type="dxa" w:w="15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4</w:t>
            </w:r>
          </w:p>
        </w:tc>
        <w:tc>
          <w:tcPr>
            <w:tcW w:type="dxa" w:w="386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Trade-off optimal: performa tinggi, biaya efisien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GPT-3.5-turbo</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70%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15</w:t>
            </w:r>
          </w:p>
        </w:tc>
        <w:tc>
          <w:tcPr>
            <w:tcW w:type="dxa" w:w="3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Biaya rendah, performa lebih terbatas</w:t>
            </w:r>
          </w:p>
        </w:tc>
      </w:tr>
    </w:tbl>
    <w:p>
      <w:pPr>
        <w:spacing w:before="200"/>
        <w:ind w:left="720"/>
      </w:pPr>
      <w:r>
        <w:rPr>
          <w:rFonts w:ascii="Times New Roman" w:cs="Times New Roman" w:eastAsia="Times New Roman" w:hAnsi="Times New Roman"/>
          <w:color w:val="FF0000"/>
          <w:sz w:val="24"/>
          <w:szCs w:val="24"/>
        </w:rPr>
        <w:t xml:space="preserve">GPT-4o-mini dipilih karena memberikan keseimbangan terbaik antara performa (MMLU 82%, hanya 6% di bawah GPT-4o) dengan biaya operasional yang lebih efisien. Untuk use case layanan informasi pendidikan yang tidak memerlukan reasoning kompleks seperti coding atau mathematical reasoning, performa GPT-4o-mini sudah memadai.</w:t>
      </w:r>
    </w:p>
    <w:sectPr>
      <w:pgSz w:w="12240" w:h="15840"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2026-02-05T01:25:31.021Z</dcterms:created>
  <dcterms:modified xsi:type="dcterms:W3CDTF">2026-02-05T01:25:31.021Z</dcterms:modified>
</cp:coreProperties>
</file>

<file path=docProps/custom.xml><?xml version="1.0" encoding="utf-8"?>
<Properties xmlns="http://schemas.openxmlformats.org/officeDocument/2006/custom-properties" xmlns:vt="http://schemas.openxmlformats.org/officeDocument/2006/docPropsVTypes"/>
</file>