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REVISI BAB IV - BAGIAN 2</w:t>
      </w:r>
    </w:p>
    <w:p>
      <w:pPr>
        <w:jc w:val="center"/>
      </w:pPr>
      <w:r>
        <w:rPr>
          <w:rFonts w:ascii="Times New Roman" w:cs="Times New Roman" w:eastAsia="Times New Roman" w:hAnsi="Times New Roman"/>
          <w:b/>
          <w:bCs/>
          <w:sz w:val="24"/>
          <w:szCs w:val="24"/>
        </w:rPr>
        <w:t xml:space="preserve">ARSITEKTUR YPI-RAG DAN ANALISIS</w:t>
      </w:r>
    </w:p>
    <w:p>
      <w:pPr>
        <w:spacing w:after="200"/>
        <w:jc w:val="center"/>
      </w:pPr>
      <w:r>
        <w:rPr>
          <w:rFonts w:ascii="Times New Roman" w:cs="Times New Roman" w:eastAsia="Times New Roman" w:hAnsi="Times New Roman"/>
          <w:b/>
          <w:bCs/>
          <w:color w:val="FF0000"/>
          <w:sz w:val="24"/>
          <w:szCs w:val="24"/>
        </w:rPr>
        <w:t xml:space="preserve">(Teks merah = bagian yang direvisi/ditambahkan)</w:t>
      </w:r>
    </w:p>
    <w:p>
      <w:pPr>
        <w:spacing w:before="3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PRIORITAS SEDANG: Definisi Arsitektur YPI-RAG</w:t>
      </w:r>
    </w:p>
    <w:p>
      <w:r>
        <w:rPr>
          <w:rFonts w:ascii="Times New Roman" w:cs="Times New Roman" w:eastAsia="Times New Roman" w:hAnsi="Times New Roman"/>
          <w:b/>
          <w:bCs/>
          <w:sz w:val="24"/>
          <w:szCs w:val="24"/>
        </w:rPr>
        <w:t xml:space="preserve">Sumber: Penguji 2 - Poin 1, 2</w:t>
      </w:r>
    </w:p>
    <w:p>
      <w:r>
        <w:rPr>
          <w:rFonts w:ascii="Times New Roman" w:cs="Times New Roman" w:eastAsia="Times New Roman" w:hAnsi="Times New Roman"/>
          <w:b/>
          <w:bCs/>
          <w:sz w:val="24"/>
          <w:szCs w:val="24"/>
        </w:rPr>
        <w:t xml:space="preserve">Lokasi: BAB IV, Subbab 4.1.5 (Subbab baru sebelum RAG Engine)</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4.1.5 Arsitektur YPI-RAG (Retrieval Augmented Generation untuk YPI Al-Azhar)</w:t>
      </w:r>
    </w:p>
    <w:p>
      <w:pPr>
        <w:spacing w:before="200"/>
        <w:ind w:left="720"/>
      </w:pPr>
      <w:r>
        <w:rPr>
          <w:rFonts w:ascii="Times New Roman" w:cs="Times New Roman" w:eastAsia="Times New Roman" w:hAnsi="Times New Roman"/>
          <w:color w:val="FF0000"/>
          <w:sz w:val="24"/>
          <w:szCs w:val="24"/>
        </w:rPr>
        <w:t xml:space="preserve">Sistem chatbot pada penelitian ini tidak sekadar mengimplementasikan arsitektur RAG standar, melainkan mengembangkan arsitektur khusus yang disesuaikan dengan kebutuhan layanan informasi dan pendaftaran di YPI Al-Azhar. Arsitektur ini selanjutnya disebut sebagai </w:t>
      </w:r>
      <w:r>
        <w:rPr>
          <w:rFonts w:ascii="Times New Roman" w:cs="Times New Roman" w:eastAsia="Times New Roman" w:hAnsi="Times New Roman"/>
          <w:b/>
          <w:bCs/>
          <w:color w:val="FF0000"/>
          <w:sz w:val="24"/>
          <w:szCs w:val="24"/>
        </w:rPr>
        <w:t xml:space="preserve">YPI-RAG</w:t>
      </w:r>
      <w:r>
        <w:rPr>
          <w:rFonts w:ascii="Times New Roman" w:cs="Times New Roman" w:eastAsia="Times New Roman" w:hAnsi="Times New Roman"/>
          <w:color w:val="FF0000"/>
          <w:sz w:val="24"/>
          <w:szCs w:val="24"/>
        </w:rPr>
        <w:t xml:space="preserve">, yang memiliki beberapa modifikasi dan penambahan komponen dibandingkan dengan arsitektur RAG umum.</w:t>
      </w:r>
    </w:p>
    <w:p>
      <w:pPr>
        <w:spacing w:before="200"/>
      </w:pPr>
      <w:r>
        <w:rPr>
          <w:rFonts w:ascii="Times New Roman" w:cs="Times New Roman" w:eastAsia="Times New Roman" w:hAnsi="Times New Roman"/>
          <w:b/>
          <w:bCs/>
          <w:color w:val="FF0000"/>
          <w:sz w:val="24"/>
          <w:szCs w:val="24"/>
        </w:rPr>
        <w:t xml:space="preserve">a. Komponen Modifikasi YPI-RAG</w:t>
      </w:r>
    </w:p>
    <w:p>
      <w:pPr>
        <w:spacing w:before="100"/>
        <w:ind w:left="720"/>
      </w:pPr>
      <w:r>
        <w:rPr>
          <w:rFonts w:ascii="Times New Roman" w:cs="Times New Roman" w:eastAsia="Times New Roman" w:hAnsi="Times New Roman"/>
          <w:color w:val="FF0000"/>
          <w:sz w:val="24"/>
          <w:szCs w:val="24"/>
        </w:rPr>
        <w:t xml:space="preserve">YPI-RAG mengintegrasikan empat komponen modifikasi utama yang membedakannya dari implementasi RAG standar:</w:t>
      </w:r>
    </w:p>
    <w:p>
      <w:pPr>
        <w:spacing w:before="200"/>
        <w:jc w:val="center"/>
      </w:pPr>
      <w:r>
        <w:rPr>
          <w:rFonts w:ascii="Times New Roman" w:cs="Times New Roman" w:eastAsia="Times New Roman" w:hAnsi="Times New Roman"/>
          <w:b/>
          <w:bCs/>
          <w:color w:val="FF0000"/>
          <w:sz w:val="24"/>
          <w:szCs w:val="24"/>
        </w:rPr>
        <w:t xml:space="preserve">Tabel 4.X Komponen Modifikasi YPI-RAG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330"/>
        <w:gridCol w:w="3330"/>
      </w:tblGrid>
      <w:tr>
        <w:tc>
          <w:tcPr>
            <w:tcW w:type="dxa" w:w="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No</w:t>
            </w:r>
          </w:p>
        </w:tc>
        <w:tc>
          <w:tcPr>
            <w:tcW w:type="dxa" w:w="22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Komponen</w:t>
            </w:r>
          </w:p>
        </w:tc>
        <w:tc>
          <w:tcPr>
            <w:tcW w:type="dxa" w:w="33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Deskripsi</w:t>
            </w:r>
          </w:p>
        </w:tc>
        <w:tc>
          <w:tcPr>
            <w:tcW w:type="dxa" w:w="33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Justifikasi</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Content Rewriting Layer</w:t>
            </w:r>
          </w:p>
        </w:tc>
        <w:tc>
          <w:tcPr>
            <w:tcW w:type="dxa" w:w="33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Proses penulisan ulang konten dokumen menggunakan LLM sebelum chunking untuk merapikan struktur dan meningkatkan kualitas teks sumber</w:t>
            </w:r>
          </w:p>
        </w:tc>
        <w:tc>
          <w:tcPr>
            <w:tcW w:type="dxa" w:w="33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Dokumen PDF dari YPI Al-Azhar memiliki format yang bervariasi, sehingga perlu dinormalisasi untuk hasil chunking yang optimal</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2</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Quality Assurance Module</w:t>
            </w:r>
          </w:p>
        </w:tc>
        <w:tc>
          <w:tcPr>
            <w:tcW w:type="dxa" w:w="33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Evaluasi dan peningkatan kualitas chunk setelah proses chunking untuk memastikan setiap chunk memiliki konteks yang lengkap</w:t>
            </w:r>
          </w:p>
        </w:tc>
        <w:tc>
          <w:tcPr>
            <w:tcW w:type="dxa" w:w="33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Informasi biaya dan persyaratan harus lengkap dalam satu chunk untuk menghindari jawaban parsial</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3</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Education-specific Metadata Enrichment</w:t>
            </w:r>
          </w:p>
        </w:tc>
        <w:tc>
          <w:tcPr>
            <w:tcW w:type="dxa" w:w="33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Penambahan metadata khusus domain pendidikan: jenjang (SD/SMP/SMA), cabang sekolah, dan tahun ajaran</w:t>
            </w:r>
          </w:p>
        </w:tc>
        <w:tc>
          <w:tcPr>
            <w:tcW w:type="dxa" w:w="33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Memungkinkan filtering yang tepat untuk pertanyaan spesifik tentang jenjang/cabang tertentu</w:t>
            </w:r>
          </w:p>
        </w:tc>
      </w:tr>
      <w:tr>
        <w:tc>
          <w:tcPr>
            <w:tcW w:type="dxa" w:w="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4</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Dual-Mode Response Generator</w:t>
            </w:r>
          </w:p>
        </w:tc>
        <w:tc>
          <w:tcPr>
            <w:tcW w:type="dxa" w:w="33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Prompt template terpisah untuk mode informasional dan transaksional dengan konfigurasi LLM yang berbeda</w:t>
            </w:r>
          </w:p>
        </w:tc>
        <w:tc>
          <w:tcPr>
            <w:tcW w:type="dxa" w:w="33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Mode informasional membutuhkan konsistensi tinggi, mode transaksional membutuhkan fleksibilitas interaksi</w:t>
            </w:r>
          </w:p>
        </w:tc>
      </w:tr>
    </w:tbl>
    <w:p>
      <w:pPr>
        <w:spacing w:before="300"/>
      </w:pPr>
      <w:r>
        <w:rPr>
          <w:rFonts w:ascii="Times New Roman" w:cs="Times New Roman" w:eastAsia="Times New Roman" w:hAnsi="Times New Roman"/>
          <w:b/>
          <w:bCs/>
          <w:color w:val="FF0000"/>
          <w:sz w:val="24"/>
          <w:szCs w:val="24"/>
        </w:rPr>
        <w:t xml:space="preserve">b. Perbandingan Alur RAG Umum vs YPI-RAG</w:t>
      </w:r>
    </w:p>
    <w:p>
      <w:pPr>
        <w:spacing w:before="100"/>
        <w:ind w:left="720"/>
      </w:pPr>
      <w:r>
        <w:rPr>
          <w:rFonts w:ascii="Times New Roman" w:cs="Times New Roman" w:eastAsia="Times New Roman" w:hAnsi="Times New Roman"/>
          <w:color w:val="FF0000"/>
          <w:sz w:val="24"/>
          <w:szCs w:val="24"/>
        </w:rPr>
        <w:t xml:space="preserve">Berikut adalah perbandingan alur pipeline antara arsitektur RAG umum dengan YPI-RAG yang dikembangkan dalam penelitian ini:</w:t>
      </w:r>
    </w:p>
    <w:p>
      <w:pPr>
        <w:spacing w:before="200"/>
        <w:jc w:val="center"/>
      </w:pPr>
      <w:r>
        <w:rPr>
          <w:rFonts w:ascii="Times New Roman" w:cs="Times New Roman" w:eastAsia="Times New Roman" w:hAnsi="Times New Roman"/>
          <w:b/>
          <w:bCs/>
          <w:color w:val="FF0000"/>
          <w:sz w:val="24"/>
          <w:szCs w:val="24"/>
        </w:rPr>
        <w:t xml:space="preserve">Tabel 4.X Perbandingan Pipeline RAG Umum vs YPI-RAG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Tahap</w:t>
            </w:r>
          </w:p>
        </w:tc>
        <w:tc>
          <w:tcPr>
            <w:tcW w:type="dxa" w:w="428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RAG Umum</w:t>
            </w:r>
          </w:p>
        </w:tc>
        <w:tc>
          <w:tcPr>
            <w:tcW w:type="dxa" w:w="428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YPI-RAG</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Query → Embedding</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Query → Query Rewriting → Embedding</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2</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Vector Search</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Hybrid Search (Vector + Keyword)</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3</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Top-K Retrieval</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Metadata Filtering → Top-K Retrieval</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4</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Context Concatenation</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Context Assembly + Re-ranking</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5</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LLM Prompt</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Mode-Specific Prompt (Info/Trans)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6</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Response Generation</w:t>
            </w:r>
          </w:p>
        </w:tc>
        <w:tc>
          <w:tcPr>
            <w:tcW w:type="dxa" w:w="42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Response Generation + Session Management</w:t>
            </w:r>
          </w:p>
        </w:tc>
      </w:tr>
    </w:tbl>
    <w:p>
      <w:pPr>
        <w:spacing w:before="200"/>
        <w:ind w:left="720"/>
      </w:pPr>
      <w:r>
        <w:rPr>
          <w:rFonts w:ascii="Times New Roman" w:cs="Times New Roman" w:eastAsia="Times New Roman" w:hAnsi="Times New Roman"/>
          <w:color w:val="FF0000"/>
          <w:sz w:val="24"/>
          <w:szCs w:val="24"/>
        </w:rPr>
        <w:t xml:space="preserve">Perbedaan utama terletak pada penambahan komponen preprocessing (query rewriting), filtering berbasis metadata domain pendidikan, mekanisme re-ranking untuk optimasi konteks, serta dukungan dual-mode dengan session management untuk menangani percakapan transaksional multi-turn.</w:t>
      </w:r>
    </w:p>
    <w:p>
      <w:pPr>
        <w:spacing w:before="4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PRIORITAS SEDANG: Klarifikasi Pembelajaran Adaptif</w:t>
      </w:r>
    </w:p>
    <w:p>
      <w:r>
        <w:rPr>
          <w:rFonts w:ascii="Times New Roman" w:cs="Times New Roman" w:eastAsia="Times New Roman" w:hAnsi="Times New Roman"/>
          <w:b/>
          <w:bCs/>
          <w:sz w:val="24"/>
          <w:szCs w:val="24"/>
        </w:rPr>
        <w:t xml:space="preserve">Sumber: Penguji 2 - Poin 3</w:t>
      </w:r>
    </w:p>
    <w:p>
      <w:r>
        <w:rPr>
          <w:rFonts w:ascii="Times New Roman" w:cs="Times New Roman" w:eastAsia="Times New Roman" w:hAnsi="Times New Roman"/>
          <w:b/>
          <w:bCs/>
          <w:sz w:val="24"/>
          <w:szCs w:val="24"/>
        </w:rPr>
        <w:t xml:space="preserve">Lokasi: BAB IV, setelah penjelasan Data Pipeline Layer</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TAMBAHKAN paragraf klarifikasi berikut:</w:t>
      </w:r>
    </w:p>
    <w:p>
      <w:pPr>
        <w:spacing w:before="200"/>
        <w:ind w:left="720"/>
      </w:pPr>
      <w:r>
        <w:rPr>
          <w:rFonts w:ascii="Times New Roman" w:cs="Times New Roman" w:eastAsia="Times New Roman" w:hAnsi="Times New Roman"/>
          <w:b/>
          <w:bCs/>
          <w:color w:val="FF0000"/>
          <w:sz w:val="24"/>
          <w:szCs w:val="24"/>
        </w:rPr>
        <w:t xml:space="preserve">Catatan Penting tentang Pembelajaran Adaptif: </w:t>
      </w:r>
      <w:r>
        <w:rPr>
          <w:rFonts w:ascii="Times New Roman" w:cs="Times New Roman" w:eastAsia="Times New Roman" w:hAnsi="Times New Roman"/>
          <w:color w:val="FF0000"/>
          <w:sz w:val="24"/>
          <w:szCs w:val="24"/>
        </w:rPr>
        <w:t xml:space="preserve">Istilah "pembelajaran adaptif" dalam konteks penelitian ini merujuk pada kemampuan sistem untuk memperbarui knowledge base secara dinamis, </w:t>
      </w:r>
      <w:r>
        <w:rPr>
          <w:rFonts w:ascii="Times New Roman" w:cs="Times New Roman" w:eastAsia="Times New Roman" w:hAnsi="Times New Roman"/>
          <w:b/>
          <w:bCs/>
          <w:color w:val="FF0000"/>
          <w:sz w:val="24"/>
          <w:szCs w:val="24"/>
        </w:rPr>
        <w:t xml:space="preserve">bukan</w:t>
      </w:r>
      <w:r>
        <w:rPr>
          <w:rFonts w:ascii="Times New Roman" w:cs="Times New Roman" w:eastAsia="Times New Roman" w:hAnsi="Times New Roman"/>
          <w:color w:val="FF0000"/>
          <w:sz w:val="24"/>
          <w:szCs w:val="24"/>
        </w:rPr>
        <w:t xml:space="preserve"> pembaruan parameter model LLM. Hal ini perlu diklarifikasi karena:</w:t>
      </w:r>
    </w:p>
    <w:p>
      <w:pPr>
        <w:spacing w:before="100"/>
        <w:ind w:left="1080"/>
      </w:pPr>
      <w:r>
        <w:rPr>
          <w:rFonts w:ascii="Times New Roman" w:cs="Times New Roman" w:eastAsia="Times New Roman" w:hAnsi="Times New Roman"/>
          <w:b/>
          <w:bCs/>
          <w:color w:val="FF0000"/>
          <w:sz w:val="24"/>
          <w:szCs w:val="24"/>
        </w:rPr>
        <w:t xml:space="preserve">1. Model GPT-4o-mini diakses melalui API: </w:t>
      </w:r>
      <w:r>
        <w:rPr>
          <w:rFonts w:ascii="Times New Roman" w:cs="Times New Roman" w:eastAsia="Times New Roman" w:hAnsi="Times New Roman"/>
          <w:color w:val="FF0000"/>
          <w:sz w:val="24"/>
          <w:szCs w:val="24"/>
        </w:rPr>
        <w:t xml:space="preserve">Model bahasa yang digunakan adalah layanan cloud dari OpenAI yang tidak memungkinkan modifikasi parameter model (fine-tuning) oleh pengguna API.</w:t>
      </w:r>
    </w:p>
    <w:p>
      <w:pPr>
        <w:spacing w:before="100"/>
        <w:ind w:left="1080"/>
      </w:pPr>
      <w:r>
        <w:rPr>
          <w:rFonts w:ascii="Times New Roman" w:cs="Times New Roman" w:eastAsia="Times New Roman" w:hAnsi="Times New Roman"/>
          <w:b/>
          <w:bCs/>
          <w:color w:val="FF0000"/>
          <w:sz w:val="24"/>
          <w:szCs w:val="24"/>
        </w:rPr>
        <w:t xml:space="preserve">2. RAG sebagai mekanisme adaptasi pengetahuan: </w:t>
      </w:r>
      <w:r>
        <w:rPr>
          <w:rFonts w:ascii="Times New Roman" w:cs="Times New Roman" w:eastAsia="Times New Roman" w:hAnsi="Times New Roman"/>
          <w:color w:val="FF0000"/>
          <w:sz w:val="24"/>
          <w:szCs w:val="24"/>
        </w:rPr>
        <w:t xml:space="preserve">Arsitektur RAG memungkinkan pembaruan pengetahuan melalui penambahan atau modifikasi dokumen pada vector database, tanpa memerlukan retraining model. Setiap dokumen baru yang diunggah akan langsung diproses dan tersedia untuk retrieval.</w:t>
      </w:r>
    </w:p>
    <w:p>
      <w:pPr>
        <w:spacing w:before="100"/>
        <w:ind w:left="1080"/>
      </w:pPr>
      <w:r>
        <w:rPr>
          <w:rFonts w:ascii="Times New Roman" w:cs="Times New Roman" w:eastAsia="Times New Roman" w:hAnsi="Times New Roman"/>
          <w:b/>
          <w:bCs/>
          <w:color w:val="FF0000"/>
          <w:sz w:val="24"/>
          <w:szCs w:val="24"/>
        </w:rPr>
        <w:t xml:space="preserve">3. Pertimbangan praktis: </w:t>
      </w:r>
      <w:r>
        <w:rPr>
          <w:rFonts w:ascii="Times New Roman" w:cs="Times New Roman" w:eastAsia="Times New Roman" w:hAnsi="Times New Roman"/>
          <w:color w:val="FF0000"/>
          <w:sz w:val="24"/>
          <w:szCs w:val="24"/>
        </w:rPr>
        <w:t xml:space="preserve">Fine-tuning LLM memerlukan biaya komputasi yang tinggi dan tidak praktis untuk informasi yang perlu diperbarui secara berkala seperti biaya pendidikan tahunan. Pendekatan RAG lebih efisien karena pembaruan cukup dilakukan pada level dokumen.</w:t>
      </w:r>
    </w:p>
    <w:p>
      <w:pPr>
        <w:spacing w:before="200"/>
        <w:ind w:left="720"/>
      </w:pPr>
      <w:r>
        <w:rPr>
          <w:rFonts w:ascii="Times New Roman" w:cs="Times New Roman" w:eastAsia="Times New Roman" w:hAnsi="Times New Roman"/>
          <w:color w:val="FF0000"/>
          <w:sz w:val="24"/>
          <w:szCs w:val="24"/>
        </w:rPr>
        <w:t xml:space="preserve">Dengan demikian, "pembelajaran adaptif" dalam penelitian ini lebih tepat disebut sebagai </w:t>
      </w:r>
      <w:r>
        <w:rPr>
          <w:rFonts w:ascii="Times New Roman" w:cs="Times New Roman" w:eastAsia="Times New Roman" w:hAnsi="Times New Roman"/>
          <w:b/>
          <w:bCs/>
          <w:color w:val="FF0000"/>
          <w:sz w:val="24"/>
          <w:szCs w:val="24"/>
        </w:rPr>
        <w:t xml:space="preserve">"adaptive knowledge base"</w:t>
      </w:r>
      <w:r>
        <w:rPr>
          <w:rFonts w:ascii="Times New Roman" w:cs="Times New Roman" w:eastAsia="Times New Roman" w:hAnsi="Times New Roman"/>
          <w:color w:val="FF0000"/>
          <w:sz w:val="24"/>
          <w:szCs w:val="24"/>
        </w:rPr>
        <w:t xml:space="preserve">, di mana sistem dapat beradaptasi dengan informasi baru melalui mekanisme pengelolaan dokumen dan embedding, bukan melalui pembaruan parameter model bahasa.</w:t>
      </w:r>
    </w:p>
    <w:p>
      <w:pPr>
        <w:spacing w:before="4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PRIORITAS SEDANG: Tambahan Subbab Analisis dan Diskusi</w:t>
      </w:r>
    </w:p>
    <w:p>
      <w:r>
        <w:rPr>
          <w:rFonts w:ascii="Times New Roman" w:cs="Times New Roman" w:eastAsia="Times New Roman" w:hAnsi="Times New Roman"/>
          <w:b/>
          <w:bCs/>
          <w:sz w:val="24"/>
          <w:szCs w:val="24"/>
        </w:rPr>
        <w:t xml:space="preserve">Sumber: Penguji 1 - Poin 6</w:t>
      </w:r>
    </w:p>
    <w:p>
      <w:r>
        <w:rPr>
          <w:rFonts w:ascii="Times New Roman" w:cs="Times New Roman" w:eastAsia="Times New Roman" w:hAnsi="Times New Roman"/>
          <w:b/>
          <w:bCs/>
          <w:sz w:val="24"/>
          <w:szCs w:val="24"/>
        </w:rPr>
        <w:t xml:space="preserve">Lokasi: BAB IV, Subbab baru 4.4 Analisis dan Diskusi</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4.4 Analisis dan Diskusi</w:t>
      </w:r>
    </w:p>
    <w:p>
      <w:pPr>
        <w:spacing w:before="200"/>
        <w:ind w:left="720"/>
      </w:pPr>
      <w:r>
        <w:rPr>
          <w:rFonts w:ascii="Times New Roman" w:cs="Times New Roman" w:eastAsia="Times New Roman" w:hAnsi="Times New Roman"/>
          <w:color w:val="FF0000"/>
          <w:sz w:val="24"/>
          <w:szCs w:val="24"/>
        </w:rPr>
        <w:t xml:space="preserve">Berdasarkan hasil implementasi dan pengujian yang telah dilakukan, berikut adalah analisis dan diskusi terhadap pencapaian sistem:</w:t>
      </w:r>
    </w:p>
    <w:p>
      <w:pPr>
        <w:spacing w:before="200"/>
      </w:pPr>
      <w:r>
        <w:rPr>
          <w:rFonts w:ascii="Times New Roman" w:cs="Times New Roman" w:eastAsia="Times New Roman" w:hAnsi="Times New Roman"/>
          <w:b/>
          <w:bCs/>
          <w:color w:val="FF0000"/>
          <w:sz w:val="24"/>
          <w:szCs w:val="24"/>
        </w:rPr>
        <w:t xml:space="preserve">a. Analisis Pencapaian Target</w:t>
      </w:r>
    </w:p>
    <w:p>
      <w:pPr>
        <w:spacing w:before="100"/>
        <w:ind w:left="720"/>
      </w:pPr>
      <w:r>
        <w:rPr>
          <w:rFonts w:ascii="Times New Roman" w:cs="Times New Roman" w:eastAsia="Times New Roman" w:hAnsi="Times New Roman"/>
          <w:color w:val="FF0000"/>
          <w:sz w:val="24"/>
          <w:szCs w:val="24"/>
        </w:rPr>
        <w:t xml:space="preserve">Seluruh target yang ditetapkan berhasil dicapai dengan hasil yang melampaui ekspektasi. Precision@3 mencapai 100%, melampaui target 80%, menunjukkan bahwa arsitektur YPI-RAG efektif dalam mengambil chunk yang relevan. Response time rata-rata 0.375 detik untuk mode informasional jauh di bawah target 5 detik, menunjukkan efisiensi sistem dalam memproses query dan menghasilkan respons.</w:t>
      </w:r>
    </w:p>
    <w:p>
      <w:pPr>
        <w:spacing w:before="200"/>
      </w:pPr>
      <w:r>
        <w:rPr>
          <w:rFonts w:ascii="Times New Roman" w:cs="Times New Roman" w:eastAsia="Times New Roman" w:hAnsi="Times New Roman"/>
          <w:b/>
          <w:bCs/>
          <w:color w:val="FF0000"/>
          <w:sz w:val="24"/>
          <w:szCs w:val="24"/>
        </w:rPr>
        <w:t xml:space="preserve">b. Kontribusi Komponen Modifikasi</w:t>
      </w:r>
    </w:p>
    <w:p>
      <w:pPr>
        <w:spacing w:before="100"/>
        <w:ind w:left="720"/>
      </w:pPr>
      <w:r>
        <w:rPr>
          <w:rFonts w:ascii="Times New Roman" w:cs="Times New Roman" w:eastAsia="Times New Roman" w:hAnsi="Times New Roman"/>
          <w:color w:val="FF0000"/>
          <w:sz w:val="24"/>
          <w:szCs w:val="24"/>
        </w:rPr>
        <w:t xml:space="preserve">Content Rewriting Layer berkontribusi pada konsistensi kualitas chunk meskipun dokumen sumber memiliki format yang bervariasi. Quality Assurance Module memastikan tidak ada informasi penting yang terpotong di tengah chunk. Education-specific Metadata Enrichment memungkinkan filtering yang tepat saat pengguna menanyakan informasi spesifik jenjang atau cabang sekolah. Dual-Mode Response Generator memberikan fleksibilitas dalam menangani dua jenis kebutuhan pengguna yang berbeda.</w:t>
      </w:r>
    </w:p>
    <w:p>
      <w:pPr>
        <w:spacing w:before="200"/>
      </w:pPr>
      <w:r>
        <w:rPr>
          <w:rFonts w:ascii="Times New Roman" w:cs="Times New Roman" w:eastAsia="Times New Roman" w:hAnsi="Times New Roman"/>
          <w:b/>
          <w:bCs/>
          <w:color w:val="FF0000"/>
          <w:sz w:val="24"/>
          <w:szCs w:val="24"/>
        </w:rPr>
        <w:t xml:space="preserve">c. Evaluasi Kepuasan Pengguna</w:t>
      </w:r>
    </w:p>
    <w:p>
      <w:pPr>
        <w:spacing w:before="100"/>
        <w:ind w:left="720"/>
      </w:pPr>
      <w:r>
        <w:rPr>
          <w:rFonts w:ascii="Times New Roman" w:cs="Times New Roman" w:eastAsia="Times New Roman" w:hAnsi="Times New Roman"/>
          <w:color w:val="FF0000"/>
          <w:sz w:val="24"/>
          <w:szCs w:val="24"/>
        </w:rPr>
        <w:t xml:space="preserve">Berdasarkan survey awal yang dilakukan pada tahap analisis kebutuhan (BAB III), beberapa ekspektasi pengguna telah berhasil dipenuhi. Response Quality Score 4.67/5 sesuai dengan ekspektasi pengguna terhadap akurasi informasi biaya pendidikan. Fitur mode transaksional menjawab kebutuhan akan kemudahan proses pendaftaran yang interaktif. Namun, pengujian kepuasan pengguna secara komprehensif dengan responden yang lebih banyak masih perlu dilakukan pada tahap pengembangan selanjutnya.</w:t>
      </w:r>
    </w:p>
    <w:p>
      <w:pPr>
        <w:spacing w:before="200"/>
      </w:pPr>
      <w:r>
        <w:rPr>
          <w:rFonts w:ascii="Times New Roman" w:cs="Times New Roman" w:eastAsia="Times New Roman" w:hAnsi="Times New Roman"/>
          <w:b/>
          <w:bCs/>
          <w:color w:val="FF0000"/>
          <w:sz w:val="24"/>
          <w:szCs w:val="24"/>
        </w:rPr>
        <w:t xml:space="preserve">d. Keterbatasan dan Implikasi</w:t>
      </w:r>
    </w:p>
    <w:p>
      <w:pPr>
        <w:spacing w:before="100"/>
        <w:ind w:left="720"/>
      </w:pPr>
      <w:r>
        <w:rPr>
          <w:rFonts w:ascii="Times New Roman" w:cs="Times New Roman" w:eastAsia="Times New Roman" w:hAnsi="Times New Roman"/>
          <w:color w:val="FF0000"/>
          <w:sz w:val="24"/>
          <w:szCs w:val="24"/>
        </w:rPr>
        <w:t xml:space="preserve">Meskipun hasil pengujian menunjukkan performa yang baik, beberapa keterbatasan perlu diperhatikan. Knowledge base saat ini terbatas pada dokumen pendaftaran dan biaya pendidikan, belum mencakup seluruh layanan YPI Al-Azhar. Sistem bergantung pada koneksi internet untuk mengakses layanan LLM eksternal. Multi-turn conversation yang kompleks belum dapat ditangani secara optimal. Keterbatasan ini menjadi rekomendasi untuk pengembangan sistem pada tahap selanjutnya.</w:t>
      </w:r>
    </w:p>
    <w:sectPr>
      <w:pgSz w:w="12240" w:h="15840"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2026-02-05T01:25:38.607Z</dcterms:created>
  <dcterms:modified xsi:type="dcterms:W3CDTF">2026-02-05T01:25:38.608Z</dcterms:modified>
</cp:coreProperties>
</file>

<file path=docProps/custom.xml><?xml version="1.0" encoding="utf-8"?>
<Properties xmlns="http://schemas.openxmlformats.org/officeDocument/2006/custom-properties" xmlns:vt="http://schemas.openxmlformats.org/officeDocument/2006/docPropsVTypes"/>
</file>