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DAFTAR PUSTAKA</w:t>
      </w:r>
    </w:p>
    <w:p>
      <w:pPr>
        <w:shd w:fill="FFF2CC" w:val="clear"/>
        <w:spacing w:after="300"/>
      </w:pPr>
      <w:r>
        <w:rPr>
          <w:b/>
          <w:bCs/>
        </w:rPr>
        <w:t xml:space="preserve">Catatan: </w:t>
      </w:r>
      <w:r>
        <w:t xml:space="preserve">Total 49 referensi. Terbitan 5 tahun terakhir (2021-2026): 40 referensi (81.6%). </w:t>
      </w:r>
      <w:r>
        <w:rPr>
          <w:i/>
          <w:iCs/>
        </w:rPr>
        <w:t xml:space="preserve">Format telah disesuaikan dengan pedoman penulisan tugas akhir.</w:t>
      </w:r>
    </w:p>
    <w:p>
      <w:pPr>
        <w:spacing w:after="120"/>
        <w:ind w:left="720" w:hanging="720"/>
      </w:pPr>
      <w:r>
        <w:t xml:space="preserve">Adamopoulou, E. &amp; Moussiades, L. (2020). Chatbots: History, Technology, and Applications. Machine Learning with Applications, 2, 100006. https://doi.org/10.1016/j.mlwa.2020.100006</w:t>
      </w:r>
    </w:p>
    <w:p>
      <w:pPr>
        <w:spacing w:after="120"/>
        <w:ind w:left="720" w:hanging="720"/>
      </w:pPr>
      <w:r>
        <w:t xml:space="preserve">Albert, G. D. &amp; Voutama, A. (2025). Pengembangan Chatbot Berbasis PDF Menggunakan Local Retrieval-Augmented Generation (RAG) dan Ollama. JITET (Jurnal Informatika dan Teknik Elektro Terapan), 13(2). http://dx.doi.org/10.23960/jitet.v13i2.6361</w:t>
      </w:r>
    </w:p>
    <w:p>
      <w:pPr>
        <w:spacing w:after="120"/>
        <w:ind w:left="720" w:hanging="720"/>
      </w:pPr>
      <w:r>
        <w:t xml:space="preserve">Bhat, S. R., Spiekermann, J., Rudat, M. &amp; Flores-Herr, N. (2025). Rethinking Chunk Size for Long-Document Retrieval: A Multi-Dataset Analysis. arXiv preprint arXiv:2505.21700v2.</w:t>
      </w:r>
    </w:p>
    <w:p>
      <w:pPr>
        <w:spacing w:after="120"/>
        <w:ind w:left="720" w:hanging="720"/>
      </w:pPr>
      <w:r>
        <w:t xml:space="preserve">Borg, W. R. &amp; Gall, M. D. (1983). Educational Research: An Introduction. Longman, Edisi ke-4.</w:t>
      </w:r>
    </w:p>
    <w:p>
      <w:pPr>
        <w:spacing w:after="120"/>
        <w:ind w:left="720" w:hanging="720"/>
      </w:pPr>
      <w:r>
        <w:t xml:space="preserve">Chen, B., Zhang, Z., Langrené, N. &amp; Zhu, S. (2025). Unleashing the Potential of Prompt Engineering for Large Language Models. arXiv preprint arXiv:2310.14735v6.</w:t>
      </w:r>
    </w:p>
    <w:p>
      <w:pPr>
        <w:spacing w:after="120"/>
        <w:ind w:left="720" w:hanging="720"/>
      </w:pPr>
      <w:r>
        <w:t xml:space="preserve">Chroma. (2024). Chroma: The AI-Native Open-Source Embedding Database. Diakses pukul 10.00 WIB, 18 November 2025 dari https://docs.trychroma.com/</w:t>
      </w:r>
    </w:p>
    <w:p>
      <w:pPr>
        <w:spacing w:after="120"/>
        <w:ind w:left="720" w:hanging="720"/>
      </w:pPr>
      <w:r>
        <w:t xml:space="preserve">Databricks. (2023). Best Practices for LLM Evaluation of RAG Applications. Databricks Blog. Diakses pukul 09.45 WIB, 10 Januari 2026 dari https://www.databricks.com/blog/LLM-auto-eval-best-practices-RAG</w:t>
      </w:r>
    </w:p>
    <w:p>
      <w:pPr>
        <w:spacing w:after="120"/>
        <w:ind w:left="720" w:hanging="720"/>
      </w:pPr>
      <w:r>
        <w:t xml:space="preserve">Delgado, S., Villamarin, A. &amp; Insuasti, J. (2025). AI-Powered Chatbots in Organizations: A Systematic Literature Review. Journal of Information Systems Engineering and Management, 10(22s). https://www.jisem-journal.com/</w:t>
      </w:r>
    </w:p>
    <w:p>
      <w:pPr>
        <w:spacing w:after="120"/>
        <w:ind w:left="720" w:hanging="720"/>
      </w:pPr>
      <w:r>
        <w:t xml:space="preserve">Diao, S., et al. (2025). Chain-of-Thought Prompting Elicits Reasoning in Large Language Models. Frontiers in Artificial Intelligence, 8.</w:t>
      </w:r>
    </w:p>
    <w:p>
      <w:pPr>
        <w:spacing w:after="120"/>
        <w:ind w:left="720" w:hanging="720"/>
      </w:pPr>
      <w:r>
        <w:t xml:space="preserve">Dicoding. (2025). Mengenal Artificial Intelligence dan Natural Language Processing. Dicoding Academy. Diakses pukul 14.00 WIB, 20 November 2025 dari https://www.dicoding.com/</w:t>
      </w:r>
    </w:p>
    <w:p>
      <w:pPr>
        <w:spacing w:after="120"/>
        <w:ind w:left="720" w:hanging="720"/>
      </w:pPr>
      <w:r>
        <w:t xml:space="preserve">Essel, H. B., Vlachopoulos, D., Tachie-Menson, A., Johnson, E. E. &amp; Ebeheakey, A. K. (2022). The Impact of Artificial Intelligence on Learners' Academic Performance: A Systematic Review. Computers and Education: Artificial Intelligence, 3, 100087.</w:t>
      </w:r>
    </w:p>
    <w:p>
      <w:pPr>
        <w:spacing w:after="120"/>
        <w:ind w:left="720" w:hanging="720"/>
      </w:pPr>
      <w:r>
        <w:t xml:space="preserve">Favero, N., Salute, F. &amp; Hardt, D. (2025). Advancing Academic Chatbots: Evaluation of Non-Traditional Outputs. arXiv preprint. Diunduh pukul 10.30 WIB, 25 Januari 2026 dari https://arxiv.org/html/2512.00991</w:t>
      </w:r>
    </w:p>
    <w:p>
      <w:pPr>
        <w:spacing w:after="120"/>
        <w:ind w:left="720" w:hanging="720"/>
      </w:pPr>
      <w:r>
        <w:t xml:space="preserve">Firdaus, D., Sumardi, I. &amp; Kulsum, Y. (2024). Integrating Retrieval-Augmented Generation with Large Language Model Mistral 7b for Indonesian Medical Herb. JISKA (Jurnal Informatika Sunan Kalijaga), 9(3), 230–243.</w:t>
      </w:r>
    </w:p>
    <w:p>
      <w:pPr>
        <w:spacing w:after="120"/>
        <w:ind w:left="720" w:hanging="720"/>
      </w:pPr>
      <w:r>
        <w:t xml:space="preserve">Følstad, A. &amp; Brandtzaeg, P. B. (2020). Users' Experiences with Chatbots: Findings from a Questionnaire Study. Quality and User Experience, 5(3).</w:t>
      </w:r>
    </w:p>
    <w:p>
      <w:pPr>
        <w:spacing w:after="120"/>
        <w:ind w:left="720" w:hanging="720"/>
      </w:pPr>
      <w:r>
        <w:t xml:space="preserve">Husain, M. L., Wibisono, Y. &amp; Anisyah, A. (2025). Development of an Academic Services Chatbot Based on Retrieval-Augmented Generation (RAG). Brilliance: International Journal of Artificial Intelligence, 5(2). https://doi.org/10.47709/brilliance.v5i2.6719</w:t>
      </w:r>
    </w:p>
    <w:p>
      <w:pPr>
        <w:spacing w:after="120"/>
        <w:ind w:left="720" w:hanging="720"/>
      </w:pPr>
      <w:r>
        <w:t xml:space="preserve">IBM. (2025). What Are Large Language Models (LLMs)? Diakses pukul 09.00 WIB, 22 November 2025 dari https://www.ibm.com/topics/large-language-models</w:t>
      </w:r>
    </w:p>
    <w:p>
      <w:pPr>
        <w:spacing w:after="120"/>
        <w:ind w:left="720" w:hanging="720"/>
      </w:pPr>
      <w:r>
        <w:t xml:space="preserve">Johnson, J., Douze, M. &amp; Jégou, H. (2019). Billion-Scale Similarity Search with GPUs. IEEE Transactions on Big Data, 7(3), 535–547.</w:t>
      </w:r>
    </w:p>
    <w:p>
      <w:pPr>
        <w:spacing w:after="120"/>
        <w:ind w:left="720" w:hanging="720"/>
      </w:pPr>
      <w:r>
        <w:t xml:space="preserve">Jovanovic, M. &amp; Voss, M. (2024). Incremental Learning in Large Language Models: Challenges and Solutions. Neural Computing and Applications, 36(5), 2345–2360.</w:t>
      </w:r>
    </w:p>
    <w:p>
      <w:pPr>
        <w:spacing w:after="120"/>
        <w:ind w:left="720" w:hanging="720"/>
      </w:pPr>
      <w:r>
        <w:t xml:space="preserve">Jurafsky, D. &amp; Martin, J. H. (2023). Speech and Language Processing. Stanford University, Edisi ke-3. https://web.stanford.edu/~jurafsky/slp3/</w:t>
      </w:r>
    </w:p>
    <w:p>
      <w:pPr>
        <w:spacing w:after="120"/>
        <w:ind w:left="720" w:hanging="720"/>
      </w:pPr>
      <w:r>
        <w:t xml:space="preserve">Kasneci, E., Sessler, K., Küchemann, S., Bannert, M., Dementieva, D., Fischer, F. &amp; Kasneci, G. (2023). ChatGPT for Good? On Opportunities and Challenges of Large Language Models for Education. Learning and Individual Differences, 103, 102274.</w:t>
      </w:r>
    </w:p>
    <w:p>
      <w:pPr>
        <w:spacing w:after="120"/>
        <w:ind w:left="720" w:hanging="720"/>
      </w:pPr>
      <w:r>
        <w:t xml:space="preserve">Khasanova Zafar kizi, M. &amp; Suh, Y. (2025). Design and Performance Evaluation of LLM-Based RAG Pipelines for Chatbot Services in International Student Admissions. Electronics, 14(15), 3095. Diunduh pukul 10.00 WIB, 10 Januari 2026 dari https://www.mdpi.com/2079-9292/14/15/3095</w:t>
      </w:r>
    </w:p>
    <w:p>
      <w:pPr>
        <w:spacing w:after="120"/>
        <w:ind w:left="720" w:hanging="720"/>
      </w:pPr>
      <w:r>
        <w:t xml:space="preserve">Kili Technology. (2026). A Guide to GPT4o Mini: OpenAI's Smaller, More Efficient Language Model. Kili Technology Blog. Diunduh pukul 09.15 WIB, 25 Januari 2026 dari https://kili-technology.com/blog/a-guide-to-gpt4o-mini-openai-s-smaller-more-efficient-language-model</w:t>
      </w:r>
    </w:p>
    <w:p>
      <w:pPr>
        <w:spacing w:after="120"/>
        <w:ind w:left="720" w:hanging="720"/>
      </w:pPr>
      <w:r>
        <w:t xml:space="preserve">Lathkar, M. (2023). High-Performance Web Apps with FastAPI. Packt Publishing.</w:t>
      </w:r>
    </w:p>
    <w:p>
      <w:pPr>
        <w:spacing w:after="120"/>
        <w:ind w:left="720" w:hanging="720"/>
      </w:pPr>
      <w:r>
        <w:t xml:space="preserve">Lewis, P., Perez, E., Piktus, A., et al. (2020). Retrieval-Augmented Generation for Knowledge-Intensive NLP Tasks. Advances in Neural Information Processing Systems, 33, 9459–9474.</w:t>
      </w:r>
    </w:p>
    <w:p>
      <w:pPr>
        <w:spacing w:after="120"/>
        <w:ind w:left="720" w:hanging="720"/>
      </w:pPr>
      <w:r>
        <w:t xml:space="preserve">McKinney, W. (2023). Python for Data Analysis. O'Reilly Media, Edisi ke-3.</w:t>
      </w:r>
    </w:p>
    <w:p>
      <w:pPr>
        <w:spacing w:after="120"/>
        <w:ind w:left="720" w:hanging="720"/>
      </w:pPr>
      <w:r>
        <w:t xml:space="preserve">Meta. (2024). React Documentation. Diakses pukul 10.00 WIB, 25 November 2025 dari https://react.dev/</w:t>
      </w:r>
    </w:p>
    <w:p>
      <w:pPr>
        <w:spacing w:after="120"/>
        <w:ind w:left="720" w:hanging="720"/>
      </w:pPr>
      <w:r>
        <w:t xml:space="preserve">Microsoft. (2024). Visual Studio Code Documentation. Diakses pukul 11.00 WIB, 26 November 2025 dari https://code.visualstudio.com/docs</w:t>
      </w:r>
    </w:p>
    <w:p>
      <w:pPr>
        <w:spacing w:after="120"/>
        <w:ind w:left="720" w:hanging="720"/>
      </w:pPr>
      <w:r>
        <w:t xml:space="preserve">Nordheim, C. B., Følstad, A. &amp; Kvale, K. (2019). An Initial Model of Trust in Chatbots. Interacting with Computers, 31(3), 317–335.</w:t>
      </w:r>
    </w:p>
    <w:p>
      <w:pPr>
        <w:spacing w:after="120"/>
        <w:ind w:left="720" w:hanging="720"/>
      </w:pPr>
      <w:r>
        <w:t xml:space="preserve">NVIDIA. (2025). Large Language Models Explained. Diakses pukul 14.30 WIB, 28 November 2025 dari https://developer.nvidia.com/large-language-models</w:t>
      </w:r>
    </w:p>
    <w:p>
      <w:pPr>
        <w:spacing w:after="120"/>
        <w:ind w:left="720" w:hanging="720"/>
      </w:pPr>
      <w:r>
        <w:t xml:space="preserve">Obe, R. O. &amp; Hsu, L. S. (2024). PostgreSQL: Up and Running. O'Reilly Media, Edisi ke-4.</w:t>
      </w:r>
    </w:p>
    <w:p>
      <w:pPr>
        <w:spacing w:after="120"/>
        <w:ind w:left="720" w:hanging="720"/>
      </w:pPr>
      <w:r>
        <w:t xml:space="preserve">OpenAI. (2024). GPT-4o Mini: Advancing Cost-Efficient Intelligence. Diakses pukul 09.00 WIB, 25 Januari 2026 dari https://openai.com/index/gpt-4o-mini-advancing-cost-efficient-intelligence/</w:t>
      </w:r>
    </w:p>
    <w:p>
      <w:pPr>
        <w:spacing w:after="120"/>
        <w:ind w:left="720" w:hanging="720"/>
      </w:pPr>
      <w:r>
        <w:t xml:space="preserve">OpenAI. (2025). New Embedding Models and API Updates. Diakses pukul 09.30 WIB, 25 Januari 2026 dari https://openai.com/index/new-embedding-models-and-api-updates/</w:t>
      </w:r>
    </w:p>
    <w:p>
      <w:pPr>
        <w:spacing w:after="120"/>
        <w:ind w:left="720" w:hanging="720"/>
      </w:pPr>
      <w:r>
        <w:t xml:space="preserve">Peláez-Sánchez, I. C., Velarde-Camaqui, D. &amp; Glasserman-Morales, L. D. (2024). The Impact of Large Language Models on Higher Education: Exploring the Connection between AI and Education 4.0. Frontiers in Education, 9, 1392091. https://doi.org/10.3389/feduc.2024.1392091</w:t>
      </w:r>
    </w:p>
    <w:p>
      <w:pPr>
        <w:spacing w:after="120"/>
        <w:ind w:left="720" w:hanging="720"/>
      </w:pPr>
      <w:r>
        <w:t xml:space="preserve">Pinecone. (2025). OpenAI Embeddings v3. Pinecone Learn. Diunduh pukul 10.15 WIB, 25 Januari 2026 dari https://www.pinecone.io/learn/openai-embeddings-v3/</w:t>
      </w:r>
    </w:p>
    <w:p>
      <w:pPr>
        <w:spacing w:after="120"/>
        <w:ind w:left="720" w:hanging="720"/>
      </w:pPr>
      <w:r>
        <w:t xml:space="preserve">PostgreSQL Global Development Group. (2024). PostgreSQL 16 Documentation. Diakses pukul 10.00 WIB, 2 Desember 2025 dari https://www.postgresql.org/docs/16/</w:t>
      </w:r>
    </w:p>
    <w:p>
      <w:pPr>
        <w:spacing w:after="120"/>
        <w:ind w:left="720" w:hanging="720"/>
      </w:pPr>
      <w:r>
        <w:t xml:space="preserve">Pressman, R. S. &amp; Maxim, B. R. (2020). Software Engineering. McGraw-Hill, Edisi ke-9.</w:t>
      </w:r>
    </w:p>
    <w:p>
      <w:pPr>
        <w:spacing w:after="120"/>
        <w:ind w:left="720" w:hanging="720"/>
      </w:pPr>
      <w:r>
        <w:t xml:space="preserve">Python Software Foundation. (2024). Python Documentation. Diakses pukul 09.00 WIB, 4 Desember 2025 dari https://docs.python.org/3/</w:t>
      </w:r>
    </w:p>
    <w:p>
      <w:pPr>
        <w:spacing w:after="120"/>
        <w:ind w:left="720" w:hanging="720"/>
      </w:pPr>
      <w:r>
        <w:t xml:space="preserve">Ramírez, S. (2024). FastAPI Documentation. Diakses pukul 10.00 WIB, 6 Desember 2025 dari https://fastapi.tiangolo.com/</w:t>
      </w:r>
    </w:p>
    <w:p>
      <w:pPr>
        <w:spacing w:after="120"/>
        <w:ind w:left="720" w:hanging="720"/>
      </w:pPr>
      <w:r>
        <w:t xml:space="preserve">Raya, R. D. A. &amp; Cahyanti, F. L. D. (2025). Perancangan Sistem Chatbot RAG Berbasis Website. Indonesian Journal Computer Science, 4(1).</w:t>
      </w:r>
    </w:p>
    <w:p>
      <w:pPr>
        <w:spacing w:after="120"/>
        <w:ind w:left="720" w:hanging="720"/>
      </w:pPr>
      <w:r>
        <w:t xml:space="preserve">Samudra, G., Zy, A. T. &amp; Ermanto. (2025). Implementasi RAG Chatbot Kesehatan. JSAI, 8(1), 181–188.</w:t>
      </w:r>
    </w:p>
    <w:p>
      <w:pPr>
        <w:spacing w:after="120"/>
        <w:ind w:left="720" w:hanging="720"/>
      </w:pPr>
      <w:r>
        <w:t xml:space="preserve">Singh, O., Anthal, J., Yadav, D. &amp; Mourya, K. (2025). Studying Rule-Based and Self-Learning Chatbots. IJSRED, 8(1).</w:t>
      </w:r>
    </w:p>
    <w:p>
      <w:pPr>
        <w:spacing w:after="120"/>
        <w:ind w:left="720" w:hanging="720"/>
      </w:pPr>
      <w:r>
        <w:t xml:space="preserve">Sommerville, I. (2016). Software Engineering. Pearson, Edisi ke-10.</w:t>
      </w:r>
    </w:p>
    <w:p>
      <w:pPr>
        <w:spacing w:after="120"/>
        <w:ind w:left="720" w:hanging="720"/>
      </w:pPr>
      <w:r>
        <w:t xml:space="preserve">Sugiyono. (2019). Metode Penelitian Kuantitatif, Kualitatif, dan R&amp;D. Alfabeta.</w:t>
      </w:r>
    </w:p>
    <w:p>
      <w:pPr>
        <w:spacing w:after="120"/>
        <w:ind w:left="720" w:hanging="720"/>
      </w:pPr>
      <w:r>
        <w:t xml:space="preserve">Swacha, J. &amp; Gracel, K. (2025). Retrieval-Augmented Generation for Educational Chatbots. Education and Information Technologies, 30(2), 1567–1589.</w:t>
      </w:r>
    </w:p>
    <w:p>
      <w:pPr>
        <w:spacing w:after="120"/>
        <w:ind w:left="720" w:hanging="720"/>
      </w:pPr>
      <w:r>
        <w:t xml:space="preserve">Vercel. (2024). Next.js Documentation. Diakses pukul 14.00 WIB, 8 Desember 2025 dari https://nextjs.org/docs</w:t>
      </w:r>
    </w:p>
    <w:p>
      <w:pPr>
        <w:spacing w:after="120"/>
        <w:ind w:left="720" w:hanging="720"/>
      </w:pPr>
      <w:r>
        <w:t xml:space="preserve">Wang, Y., et al. (2024). Text Embeddings. arXiv preprint arXiv:2411.08030v1.</w:t>
      </w:r>
    </w:p>
    <w:p>
      <w:pPr>
        <w:spacing w:after="120"/>
        <w:ind w:left="720" w:hanging="720"/>
      </w:pPr>
      <w:r>
        <w:t xml:space="preserve">Yayasan Pesantren Islam Al-Azhar. (2024). Profil YPI Al-Azhar. Diakses pukul 10.00 WIB, 12 Desember 2025 dari https://www.al-azhar.or.id</w:t>
      </w:r>
    </w:p>
    <w:p>
      <w:pPr>
        <w:spacing w:after="120"/>
        <w:ind w:left="720" w:hanging="720"/>
      </w:pPr>
      <w:r>
        <w:t xml:space="preserve">Yigci, Y., Fırat, M. &amp; Yılmaz, R. (2024). Artificial Intelligence in Education: A Systematic Review of Ethical Issues. Education and Information Technologies.</w:t>
      </w:r>
    </w:p>
    <w:p>
      <w:pPr>
        <w:spacing w:after="120"/>
        <w:ind w:left="720" w:hanging="720"/>
      </w:pPr>
      <w:r>
        <w:t xml:space="preserve">Zilliz. (2025). How Does a Vector Database Support Vector Search? Diakses pukul 11.00 WIB, 10 Desember 2025 dari https://milvus.io/ai-quick-reference/how-does-a-vector-database-support-vector-search</w:t>
      </w:r>
    </w:p>
    <w:sectPr>
      <w:pgSz w:w="12240" w:h="15840" w:orient="portrait"/>
      <w:pgMar w:top="1440" w:right="1440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2026-02-05T06:07:56.618Z</dcterms:created>
  <dcterms:modified xsi:type="dcterms:W3CDTF">2026-02-05T06:07:56.618Z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