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CHECKLIST REVISI CATATAN PEMBIMBING 1</w:t>
      </w:r>
    </w:p>
    <w:p>
      <w:pPr>
        <w:spacing w:after="200" w:line="360"/>
        <w:jc w:val="center"/>
      </w:pPr>
      <w:r>
        <w:rPr>
          <w:sz w:val="28"/>
          <w:szCs w:val="28"/>
        </w:rPr>
        <w:t xml:space="preserve">Poin 1: Konsistensi Naskah</w:t>
      </w:r>
    </w:p>
    <w:p>
      <w:pPr>
        <w:spacing w:after="600"/>
        <w:jc w:val="center"/>
      </w:pPr>
      <w:r>
        <w:rPr>
          <w:sz w:val="28"/>
          <w:szCs w:val="28"/>
        </w:rPr>
        <w:t xml:space="preserve">Poin 2: Daftar Pustaka</w:t>
      </w:r>
    </w:p>
    <w:p>
      <w:pPr>
        <w:spacing w:before="400" w:after="300"/>
      </w:pPr>
      <w:r>
        <w:rPr>
          <w:b/>
          <w:bCs/>
          <w:sz w:val="28"/>
          <w:szCs w:val="28"/>
        </w:rPr>
        <w:t xml:space="preserve">POIN 1: RAPIKAN KONSISTENSI NASKAH</w:t>
      </w:r>
    </w:p>
    <w:p>
      <w:pPr>
        <w:spacing w:before="300" w:after="200"/>
      </w:pPr>
      <w:r>
        <w:rPr>
          <w:b/>
          <w:bCs/>
        </w:rPr>
        <w:t xml:space="preserve">1.1 Daftar Isi - Penomoran Subbab</w:t>
      </w:r>
    </w:p>
    <w:p>
      <w:pPr>
        <w:spacing w:after="200" w:line="360"/>
      </w:pPr>
      <w:r>
        <w:rPr>
          <w:i/>
          <w:iCs/>
        </w:rPr>
        <w:t xml:space="preserve">Pastikan penomoran subbab tidak loncat. Periksa setiap BAB:</w:t>
      </w:r>
    </w:p>
    <w:tbl>
      <w:tblPr>
        <w:tblW w:type="dxa" w:w="90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500"/>
        <w:gridCol w:w="1599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BAB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Item yang Diperiksa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5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Catatan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BAB I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1.1 → 1.2 → 1.3 → 1.4 → 1.5 → 1.6 (tidak ada yang loncat)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color w:val="00B050"/>
              </w:rPr>
              <w:t xml:space="preserve">✓ OK</w:t>
            </w:r>
          </w:p>
        </w:tc>
        <w:tc>
          <w:tcPr>
            <w:tcW w:type="dxa" w:w="15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BAB II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2.1 → 2.2 → ... → 2.n (sesuaikan dengan isi)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[ ]</w:t>
            </w:r>
          </w:p>
        </w:tc>
        <w:tc>
          <w:tcPr>
            <w:tcW w:type="dxa" w:w="15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Periksa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BAB III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3.1 → 3.2 → ... → 3.n (sesuaikan dengan isi)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[ ]</w:t>
            </w:r>
          </w:p>
        </w:tc>
        <w:tc>
          <w:tcPr>
            <w:tcW w:type="dxa" w:w="15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Periksa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BAB IV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4.1 → 4.2 → 4.3 (tidak ada yang loncat)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[ ]</w:t>
            </w:r>
          </w:p>
        </w:tc>
        <w:tc>
          <w:tcPr>
            <w:tcW w:type="dxa" w:w="15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Periksa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BAB V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5.1 → 5.2 (tidak ada yang loncat)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[ ]</w:t>
            </w:r>
          </w:p>
        </w:tc>
        <w:tc>
          <w:tcPr>
            <w:tcW w:type="dxa" w:w="15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Periksa</w:t>
            </w:r>
          </w:p>
        </w:tc>
      </w:tr>
    </w:tbl>
    <w:p>
      <w:pPr>
        <w:spacing w:before="400" w:after="200"/>
      </w:pPr>
      <w:r>
        <w:rPr>
          <w:b/>
          <w:bCs/>
        </w:rPr>
        <w:t xml:space="preserve">1.2 Perbaikan Typo</w:t>
      </w:r>
    </w:p>
    <w:tbl>
      <w:tblPr>
        <w:tblW w:type="dxa" w:w="90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000"/>
        <w:gridCol w:w="2099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Typo (Salah)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Perbaikan (Benar)</w:t>
            </w:r>
          </w:p>
        </w:tc>
        <w:tc>
          <w:tcPr>
            <w:tcW w:type="dxa" w:w="2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Lokasi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FF0000"/>
              </w:rPr>
              <w:t xml:space="preserve">Ruang Linkup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Ruang Lingkup</w:t>
            </w:r>
          </w:p>
        </w:tc>
        <w:tc>
          <w:tcPr>
            <w:tcW w:type="dxa" w:w="2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BAB I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FF0000"/>
              </w:rPr>
              <w:t xml:space="preserve">dplikasi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aplikasi</w:t>
            </w:r>
          </w:p>
        </w:tc>
        <w:tc>
          <w:tcPr>
            <w:tcW w:type="dxa" w:w="2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BAB IV Tabel 4.4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FF0000"/>
              </w:rPr>
              <w:t xml:space="preserve">PostgresSQL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PostgreSQL</w:t>
            </w:r>
          </w:p>
        </w:tc>
        <w:tc>
          <w:tcPr>
            <w:tcW w:type="dxa" w:w="2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BAB IV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(periksa seluruh dokumen)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-</w:t>
            </w:r>
          </w:p>
        </w:tc>
        <w:tc>
          <w:tcPr>
            <w:tcW w:type="dxa" w:w="2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-</w:t>
            </w:r>
          </w:p>
        </w:tc>
      </w:tr>
    </w:tbl>
    <w:p>
      <w:pPr>
        <w:spacing w:before="400" w:after="200"/>
      </w:pPr>
      <w:r>
        <w:rPr>
          <w:b/>
          <w:bCs/>
        </w:rPr>
        <w:t xml:space="preserve">1.3 Konsistensi Format</w:t>
      </w:r>
    </w:p>
    <w:tbl>
      <w:tblPr>
        <w:tblW w:type="dxa" w:w="90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500"/>
        <w:gridCol w:w="2099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Standar</w:t>
            </w:r>
          </w:p>
        </w:tc>
        <w:tc>
          <w:tcPr>
            <w:tcW w:type="dxa" w:w="2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Titik-titik leader di Daftar Isi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Konsisten semua baris</w:t>
            </w:r>
          </w:p>
        </w:tc>
        <w:tc>
          <w:tcPr>
            <w:tcW w:type="dxa" w:w="2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[ ] Periksa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Titik-titik leader di Daftar Gambar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Konsisten semua baris</w:t>
            </w:r>
          </w:p>
        </w:tc>
        <w:tc>
          <w:tcPr>
            <w:tcW w:type="dxa" w:w="2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[ ] Periksa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Titik-titik leader di Daftar Tabel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Konsisten semua baris</w:t>
            </w:r>
          </w:p>
        </w:tc>
        <w:tc>
          <w:tcPr>
            <w:tcW w:type="dxa" w:w="2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[ ] Periksa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Spasi antar subbab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Konsisten 12pt before</w:t>
            </w:r>
          </w:p>
        </w:tc>
        <w:tc>
          <w:tcPr>
            <w:tcW w:type="dxa" w:w="2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[ ] Periksa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Format judul BAB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BOLD, CENTER, 14pt</w:t>
            </w:r>
          </w:p>
        </w:tc>
        <w:tc>
          <w:tcPr>
            <w:tcW w:type="dxa" w:w="2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[ ] Periksa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Format subbab level 1 (x.y)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Bold, 12pt</w:t>
            </w:r>
          </w:p>
        </w:tc>
        <w:tc>
          <w:tcPr>
            <w:tcW w:type="dxa" w:w="2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[ ] Periksa</w:t>
            </w:r>
          </w:p>
        </w:tc>
      </w:tr>
    </w:tbl>
    <w:p>
      <w:r>
        <w:br w:type="page"/>
      </w:r>
    </w:p>
    <w:p>
      <w:pPr>
        <w:spacing w:before="400" w:after="300"/>
      </w:pPr>
      <w:r>
        <w:rPr>
          <w:b/>
          <w:bCs/>
          <w:sz w:val="28"/>
          <w:szCs w:val="28"/>
        </w:rPr>
        <w:t xml:space="preserve">POIN 2: DAFTAR PUSTAKA HARUS DIBERSIHKAN</w:t>
      </w:r>
    </w:p>
    <w:p>
      <w:pPr>
        <w:spacing w:before="300" w:after="200"/>
      </w:pPr>
      <w:r>
        <w:rPr>
          <w:b/>
          <w:bCs/>
        </w:rPr>
        <w:t xml:space="preserve">2.1 Hapus Semua Placeholder Tanggal Akses</w:t>
      </w:r>
    </w:p>
    <w:p>
      <w:pPr>
        <w:spacing w:after="200" w:line="360"/>
      </w:pPr>
      <w:r>
        <w:rPr>
          <w:i/>
          <w:iCs/>
        </w:rPr>
        <w:t xml:space="preserve">Cari dan ganti semua placeholder dengan format tanggal yang benar:</w:t>
      </w:r>
    </w:p>
    <w:tbl>
      <w:tblPr>
        <w:tblW w:type="dxa" w:w="90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99"/>
      </w:tblGrid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Placeholder (HAPUS)</w:t>
            </w:r>
          </w:p>
        </w:tc>
        <w:tc>
          <w:tcPr>
            <w:tcW w:type="dxa" w:w="5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Contoh Pengganti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FF0000"/>
              </w:rPr>
              <w:t xml:space="preserve">[tanggal, bulan, tahun, jam]</w:t>
            </w:r>
          </w:p>
        </w:tc>
        <w:tc>
          <w:tcPr>
            <w:tcW w:type="dxa" w:w="5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15 Januari 2026, pukul 10.30 WIB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FF0000"/>
              </w:rPr>
              <w:t xml:space="preserve">[tanggal akses]</w:t>
            </w:r>
          </w:p>
        </w:tc>
        <w:tc>
          <w:tcPr>
            <w:tcW w:type="dxa" w:w="5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20 Desember 2025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FF0000"/>
              </w:rPr>
              <w:t xml:space="preserve">[dd/mm/yyyy]</w:t>
            </w:r>
          </w:p>
        </w:tc>
        <w:tc>
          <w:tcPr>
            <w:tcW w:type="dxa" w:w="5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25 November 2025</w:t>
            </w:r>
          </w:p>
        </w:tc>
      </w:tr>
    </w:tbl>
    <w:p>
      <w:pPr>
        <w:spacing w:before="400" w:after="200"/>
      </w:pPr>
      <w:r>
        <w:rPr>
          <w:b/>
          <w:bCs/>
        </w:rPr>
        <w:t xml:space="preserve">2.2 Format Sitasi Dokumentasi Teknis</w:t>
      </w:r>
    </w:p>
    <w:p>
      <w:pPr>
        <w:spacing w:after="200" w:line="360"/>
      </w:pPr>
      <w:r>
        <w:rPr>
          <w:i/>
          <w:iCs/>
        </w:rPr>
        <w:t xml:space="preserve">Gunakan format konsisten untuk semua dokumentasi teknis:</w:t>
      </w:r>
    </w:p>
    <w:tbl>
      <w:tblPr>
        <w:tblW w:type="dxa" w:w="90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99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Sumber</w:t>
            </w:r>
          </w:p>
        </w:tc>
        <w:tc>
          <w:tcPr>
            <w:tcW w:type="dxa" w:w="7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Format Sitasi yang Benar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PostgreSQL</w:t>
            </w:r>
          </w:p>
        </w:tc>
        <w:tc>
          <w:tcPr>
            <w:tcW w:type="dxa" w:w="7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PostgreSQL Global Development Group. (2024). PostgreSQL 16 Documentation. https://www.postgresql.org/docs/16/. Diakses pada 15 Januari 2026, pukul 09.00 WIB.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Python</w:t>
            </w:r>
          </w:p>
        </w:tc>
        <w:tc>
          <w:tcPr>
            <w:tcW w:type="dxa" w:w="7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Python Software Foundation. (2024). Python 3.13 Documentation. https://docs.python.org/3.13/. Diakses pada 15 Januari 2026, pukul 09.15 WIB.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FastAPI</w:t>
            </w:r>
          </w:p>
        </w:tc>
        <w:tc>
          <w:tcPr>
            <w:tcW w:type="dxa" w:w="7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Ramírez, S. (2024). FastAPI Documentation. https://fastapi.tiangolo.com/. Diakses pada 15 Januari 2026, pukul 09.30 WIB.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Next.js</w:t>
            </w:r>
          </w:p>
        </w:tc>
        <w:tc>
          <w:tcPr>
            <w:tcW w:type="dxa" w:w="7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Vercel Inc. (2024). Next.js Documentation. https://nextjs.org/docs. Diakses pada 15 Januari 2026, pukul 09.45 WIB.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ChromaDB</w:t>
            </w:r>
          </w:p>
        </w:tc>
        <w:tc>
          <w:tcPr>
            <w:tcW w:type="dxa" w:w="7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Chroma. (2024). Chroma Documentation. https://docs.trychroma.com/. Diakses pada 15 Januari 2026, pukul 10.00 WIB.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OpenAI</w:t>
            </w:r>
          </w:p>
        </w:tc>
        <w:tc>
          <w:tcPr>
            <w:tcW w:type="dxa" w:w="7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OpenAI. (2024). API Reference. https://platform.openai.com/docs/api-reference. Diakses pada 15 Januari 2026, pukul 10.15 WIB.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LangChain</w:t>
            </w:r>
          </w:p>
        </w:tc>
        <w:tc>
          <w:tcPr>
            <w:tcW w:type="dxa" w:w="70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LangChain Inc. (2024). LangChain Documentation. https://python.langchain.com/docs/. Diakses pada 15 Januari 2026, pukul 10.30 WIB.</w:t>
            </w:r>
          </w:p>
        </w:tc>
      </w:tr>
    </w:tbl>
    <w:p>
      <w:pPr>
        <w:spacing w:before="400" w:after="200"/>
      </w:pPr>
      <w:r>
        <w:rPr>
          <w:b/>
          <w:bCs/>
        </w:rPr>
        <w:t xml:space="preserve">2.3 Referensi Wikipedia</w:t>
      </w:r>
    </w:p>
    <w:p>
      <w:pPr>
        <w:spacing w:after="200" w:line="360"/>
      </w:pPr>
      <w:r>
        <w:rPr>
          <w:i/>
          <w:iCs/>
        </w:rPr>
        <w:t xml:space="preserve">Wikipedia tidak boleh jadi rujukan utama untuk konsep teknis inti. Pastikan setiap sitasi Wikipedia didukung sumber primer:</w:t>
      </w:r>
    </w:p>
    <w:tbl>
      <w:tblPr>
        <w:tblW w:type="dxa" w:w="90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99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Konsep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Sumber Primer (Wajib)</w:t>
            </w:r>
          </w:p>
        </w:tc>
        <w:tc>
          <w:tcPr>
            <w:tcW w:type="dxa" w:w="3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Wikipedia (Opsional)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Large Language Model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Brown et al. (2020) - GPT-3 Paper</w:t>
            </w:r>
          </w:p>
        </w:tc>
        <w:tc>
          <w:tcPr>
            <w:tcW w:type="dxa" w:w="3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Boleh tetap ada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RAG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Lewis et al. (2020) - RAG Paper</w:t>
            </w:r>
          </w:p>
        </w:tc>
        <w:tc>
          <w:tcPr>
            <w:tcW w:type="dxa" w:w="3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Boleh tetap ada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Transformer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Vaswani et al. (2017) - Attention Paper</w:t>
            </w:r>
          </w:p>
        </w:tc>
        <w:tc>
          <w:tcPr>
            <w:tcW w:type="dxa" w:w="3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Boleh tetap ada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Vector Database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Johnson et al. (2019) - FAISS Paper</w:t>
            </w:r>
          </w:p>
        </w:tc>
        <w:tc>
          <w:tcPr>
            <w:tcW w:type="dxa" w:w="3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Boleh tetap ada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Embedding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rPr>
                <w:color w:val="00B050"/>
              </w:rPr>
              <w:t xml:space="preserve">Mikolov et al. (2013) - Word2Vec</w:t>
            </w:r>
          </w:p>
        </w:tc>
        <w:tc>
          <w:tcPr>
            <w:tcW w:type="dxa" w:w="3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Boleh tetap ada</w:t>
            </w:r>
          </w:p>
        </w:tc>
      </w:tr>
    </w:tbl>
    <w:p>
      <w:r>
        <w:br w:type="page"/>
      </w:r>
    </w:p>
    <w:p>
      <w:pPr>
        <w:spacing w:before="400" w:after="300"/>
        <w:jc w:val="center"/>
      </w:pPr>
      <w:r>
        <w:rPr>
          <w:b/>
          <w:bCs/>
          <w:sz w:val="28"/>
          <w:szCs w:val="28"/>
        </w:rPr>
        <w:t xml:space="preserve">RINGKASAN STATUS REVISI</w:t>
      </w:r>
    </w:p>
    <w:tbl>
      <w:tblPr>
        <w:tblW w:type="dxa" w:w="90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500"/>
        <w:gridCol w:w="2599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Catatan Pembimbing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Dokumen Revisi</w:t>
            </w:r>
          </w:p>
        </w:tc>
        <w:tc>
          <w:tcPr>
            <w:tcW w:type="dxa" w:w="25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Konsistensi naskah (Daftar Isi, typo, format)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Checklist ini</w:t>
            </w:r>
          </w:p>
        </w:tc>
        <w:tc>
          <w:tcPr>
            <w:tcW w:type="dxa" w:w="25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[ ] Periksa manual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2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Daftar pustaka (placeholder, format, Wikipedia)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DAFTAR_PUSTAKA_REVISI.docx</w:t>
            </w:r>
          </w:p>
        </w:tc>
        <w:tc>
          <w:tcPr>
            <w:tcW w:type="dxa" w:w="25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color w:val="00B050"/>
              </w:rPr>
              <w:t xml:space="preserve">✓ Selesai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t xml:space="preserve">3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Evaluasi RAG (metodologi, query set, rubrik, lampiran)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</w:pPr>
            <w:r>
              <w:t xml:space="preserve">REVISI_BAB_IV_RAG_LENGKAP.docx</w:t>
            </w:r>
          </w:p>
        </w:tc>
        <w:tc>
          <w:tcPr>
            <w:tcW w:type="dxa" w:w="25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line="360"/>
              <w:jc w:val="center"/>
            </w:pPr>
            <w:r>
              <w:rPr>
                <w:color w:val="00B050"/>
              </w:rPr>
              <w:t xml:space="preserve">✓ Selesai</w:t>
            </w:r>
          </w:p>
        </w:tc>
      </w:tr>
    </w:tbl>
    <w:p>
      <w:pPr>
        <w:spacing w:before="300"/>
      </w:pPr>
      <w:r>
        <w:rPr>
          <w:b/>
          <w:bCs/>
        </w:rPr>
        <w:t xml:space="preserve">Catatan:</w:t>
      </w:r>
    </w:p>
    <w:p>
      <w:pPr>
        <w:spacing w:after="200" w:line="360"/>
      </w:pPr>
      <w:r>
        <w:t xml:space="preserve">1. Poin 1 (konsistensi naskah) perlu diperiksa manual di file skripsi asli.</w:t>
      </w:r>
    </w:p>
    <w:p>
      <w:pPr>
        <w:spacing w:after="200" w:line="360"/>
      </w:pPr>
      <w:r>
        <w:t xml:space="preserve">2. Poin 2 sudah direvisi di DAFTAR_PUSTAKA_REVISI.docx (49 referensi, format konsisten).</w:t>
      </w:r>
    </w:p>
    <w:p>
      <w:pPr>
        <w:spacing w:after="200" w:line="360"/>
      </w:pPr>
      <w:r>
        <w:t xml:space="preserve">3. Poin 3 sudah direvisi di REVISI_BAB_IV_RAG_LENGKAP.docx dengan:</w:t>
      </w:r>
    </w:p>
    <w:p>
      <w:pPr>
        <w:spacing w:after="200" w:line="360"/>
      </w:pPr>
      <w:r>
        <w:t xml:space="preserve">   - Paragraf metodologi di 4.2.4</w:t>
      </w:r>
    </w:p>
    <w:p>
      <w:pPr>
        <w:spacing w:after="200" w:line="360"/>
      </w:pPr>
      <w:r>
        <w:t xml:space="preserve">   - Query set 40 query (Lampiran A)</w:t>
      </w:r>
    </w:p>
    <w:p>
      <w:pPr>
        <w:spacing w:after="200" w:line="360"/>
      </w:pPr>
      <w:r>
        <w:t xml:space="preserve">   - Rubrik relevansi 0-2</w:t>
      </w:r>
    </w:p>
    <w:p>
      <w:pPr>
        <w:spacing w:after="200" w:line="360"/>
      </w:pPr>
      <w:r>
        <w:t xml:space="preserve">   - Judgement sheet (Lampiran B)</w:t>
      </w:r>
    </w:p>
    <w:p>
      <w:pPr>
        <w:spacing w:after="200" w:line="360"/>
      </w:pPr>
      <w:r>
        <w:t xml:space="preserve">   - Tabel Precision@k dan Recall@k lengkap</w:t>
      </w:r>
    </w:p>
    <w:p>
      <w:pPr>
        <w:spacing w:after="200" w:line="360"/>
      </w:pPr>
      <w:r>
        <w:t xml:space="preserve">   - 2 contoh kasus (sukses dan menantang)</w:t>
      </w:r>
    </w:p>
    <w:p>
      <w:pPr>
        <w:spacing w:after="200" w:line="360"/>
      </w:pPr>
      <w:r>
        <w:t xml:space="preserve">   - Catatan perbaikan</w:t>
      </w:r>
    </w:p>
    <w:sectPr>
      <w:pgSz w:w="12240" w:h="15840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2026-02-06T00:33:54.082Z</dcterms:created>
  <dcterms:modified xsi:type="dcterms:W3CDTF">2026-02-06T00:33:54.083Z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