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2E5A34"/>
          <w:sz w:val="40"/>
          <w:szCs w:val="40"/>
        </w:rPr>
        <w:t xml:space="preserve">Avian Age: Te Manawa</w:t>
      </w:r>
    </w:p>
    <w:p>
      <w:pPr>
        <w:spacing w:after="60"/>
      </w:pPr>
      <w:r>
        <w:rPr>
          <w:rFonts w:ascii="Calibri" w:cs="Calibri" w:eastAsia="Calibri" w:hAnsi="Calibri"/>
          <w:color w:val="4A6B4E"/>
          <w:sz w:val="24"/>
          <w:szCs w:val="24"/>
        </w:rPr>
        <w:t xml:space="preserve">Project proposal — a deep-time kiosk for the We Are Nature refresh</w:t>
      </w:r>
    </w:p>
    <w:p>
      <w:pPr>
        <w:pBdr>
          <w:bottom w:val="single" w:color="9CB79E" w:sz="8" w:space="6"/>
        </w:pBdr>
        <w:spacing w:after="120"/>
      </w:pPr>
      <w:r>
        <w:rPr>
          <w:rFonts w:ascii="Calibri" w:cs="Calibri" w:eastAsia="Calibri" w:hAnsi="Calibri"/>
          <w:i/>
          <w:iCs/>
          <w:color w:val="6A6A6A"/>
          <w:sz w:val="18"/>
          <w:szCs w:val="18"/>
        </w:rPr>
        <w:t xml:space="preserve">Working draft for kōrero with Tony and Rangitāne o Manawatū. Names, narration and framing here are placeholders for co-design — nothing is fixed.  ·  July 2026  ·  “Avian Age” is a working name.</w:t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2E5A34"/>
          <w:sz w:val="25"/>
          <w:szCs w:val="25"/>
        </w:rPr>
        <w:t xml:space="preserve">The idea in brief</w:t>
      </w:r>
    </w:p>
    <w:p>
      <w:pPr>
        <w:spacing w:after="120" w:line="264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A self-running, play-based kiosk for the We Are Nature section of the natural-history refresh — a deep-time companion to the existing Te Awa – The River landform screen. Visitors follow the Manawatū back through time, from roughly 345,000 years ago to the recent past: the ranges rise, the river saws its gorge across them, ice ages and eruptions repeatedly reset the forest — and moa live through all of it. It is a toy, not a game. You nudge the world, not individual creatures, and there is no score, no winning or losing.</w:t>
      </w:r>
    </w:p>
    <w:p>
      <w:pPr>
        <w:spacing w:after="120" w:line="264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The one thing a visitor should leave with: </w:t>
      </w:r>
      <w:r>
        <w:rPr>
          <w:rFonts w:ascii="Calibri" w:cs="Calibri" w:eastAsia="Calibri" w:hAnsi="Calibri"/>
          <w:i/>
          <w:iCs/>
          <w:color w:val="262626"/>
          <w:sz w:val="21"/>
          <w:szCs w:val="21"/>
        </w:rPr>
        <w:t xml:space="preserve">the river is older than the mountains.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The Manawatū carved Te Āpiti by outpacing the rising ranges, while ice and eruptions kept remaking the forest around the moa.</w:t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2E5A34"/>
          <w:sz w:val="25"/>
          <w:szCs w:val="25"/>
        </w:rPr>
        <w:t xml:space="preserve">How it works</w:t>
      </w:r>
    </w:p>
    <w:p>
      <w:pPr>
        <w:spacing w:after="120" w:line="264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The screen is a deep-time timeline above a living map, with four simple buttons beneath it — icon-first, the effect obvious the instant it is pressed, reading always supplementary: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Deep time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— fast-forwards the world, compressing about 50,000 years into ten seconds so you watch the land being made (hold to keep going).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Growth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— a surge of new plant life across the forest.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Storm (Tāwhirimātea)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— weather that stays the predator’s hand, so moa numbers rebound.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Eruption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— a Whakamaru ashfall that resets the scene and regrows it from bare ground.</w:t>
      </w:r>
    </w:p>
    <w:p>
      <w:pPr>
        <w:spacing w:after="120" w:line="264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A full run spans about 10–12 minutes; when no one is there, it runs itself as an attract loop to draw people in. The moa-and-predator ecosystem self-balances — populations rise and fall with the climate rather than being controlled — so the piece rewards repeat visits and open-ended, educator-led exploration.</w:t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2E5A34"/>
          <w:sz w:val="25"/>
          <w:szCs w:val="25"/>
        </w:rPr>
        <w:t xml:space="preserve">Who it is for</w:t>
      </w:r>
    </w:p>
    <w:p>
      <w:pPr>
        <w:spacing w:after="120" w:line="264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Tamariki and rangatahi aged 7–14, with an 8–12 focus, from a wide range of backgrounds across the lower North Island, and built to be teachable by educators.</w:t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2E5A34"/>
          <w:sz w:val="25"/>
          <w:szCs w:val="25"/>
        </w:rPr>
        <w:t xml:space="preserve">Learning objectives — draft for negotiation</w:t>
      </w:r>
    </w:p>
    <w:p>
      <w:pPr>
        <w:spacing w:after="120" w:line="264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To be settled with Tony and the Rangitāne framework. Current draft, each paired with a hook for the visitor: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Whenua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— where we come from: the making of the Manawatū and its volcanism in deep time. </w:t>
      </w:r>
      <w:r>
        <w:rPr>
          <w:rFonts w:ascii="Calibri" w:cs="Calibri" w:eastAsia="Calibri" w:hAnsi="Calibri"/>
          <w:i/>
          <w:iCs/>
          <w:color w:val="262626"/>
          <w:sz w:val="21"/>
          <w:szCs w:val="21"/>
        </w:rPr>
        <w:t xml:space="preserve">(Where you come from.)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Taonga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— how native species hold Te Taiao in balance, inspired by ancient Aotearoa. </w:t>
      </w:r>
      <w:r>
        <w:rPr>
          <w:rFonts w:ascii="Calibri" w:cs="Calibri" w:eastAsia="Calibri" w:hAnsi="Calibri"/>
          <w:i/>
          <w:iCs/>
          <w:color w:val="262626"/>
          <w:sz w:val="21"/>
          <w:szCs w:val="21"/>
        </w:rPr>
        <w:t xml:space="preserve">(Helping make a better future.)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Hauora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— learning through play that invites problem-solving and reasoning. </w:t>
      </w:r>
      <w:r>
        <w:rPr>
          <w:rFonts w:ascii="Calibri" w:cs="Calibri" w:eastAsia="Calibri" w:hAnsi="Calibri"/>
          <w:i/>
          <w:iCs/>
          <w:color w:val="262626"/>
          <w:sz w:val="21"/>
          <w:szCs w:val="21"/>
        </w:rPr>
        <w:t xml:space="preserve">(An exciting world to understand.)</w:t>
      </w:r>
    </w:p>
    <w:p>
      <w:pPr>
        <w:spacing w:after="120" w:line="264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Throughout, digital media is the tool to extend learning — to dig deeper, understand systems, and share what you notice.</w:t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2E5A34"/>
          <w:sz w:val="25"/>
          <w:szCs w:val="25"/>
        </w:rPr>
        <w:t xml:space="preserve">Fit with We Are Nature</w:t>
      </w:r>
    </w:p>
    <w:p>
      <w:pPr>
        <w:spacing w:after="120" w:line="264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The kiosk links the section’s contemporary teaching of water systems (and the Moa lab) to its immersive, exploratory vision for native ecology. It speaks to all four threads — water systems, biodiversity and forest restoration, protecting taonga ecology, and listening to nature — and to the design language of warm colour, timber and forest green, and the “weaving” motif of interacting ecologies, ngā uri o ngā rākau. I would add “carving” — the river cutting into rising mountains — as a companion metaphor. If it lands, it can inform the refresh directly and seed material for the immersive space.</w:t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2E5A34"/>
          <w:sz w:val="25"/>
          <w:szCs w:val="25"/>
        </w:rPr>
        <w:t xml:space="preserve">Working with Rangitāne</w:t>
      </w:r>
    </w:p>
    <w:p>
      <w:pPr>
        <w:spacing w:after="120" w:line="264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The river is the ancestral relationship of Rangitāne o Manawatū; Te Āpiti is an ancestral passage; moa are taonga. So the installation is built as a system — geology, ecology, timeline, buttons — with every name, label and pop-up left as a replaceable hook. Naming, narration and which stories are told are for co-design with mana whenua, not decided by us. One local, literal tie worth discussing: the Te Ahu a Tūranga moa bones — found in 2021 during the highway build, held here at Te Manawa, and dated to at least 180,000 years (possibly around 345,000) — as a quiet “where the bones came from” thread.</w:t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2E5A34"/>
          <w:sz w:val="25"/>
          <w:szCs w:val="25"/>
        </w:rPr>
        <w:t xml:space="preserve">Built on proven code</w:t>
      </w:r>
    </w:p>
    <w:p>
      <w:pPr>
        <w:spacing w:after="120" w:line="264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The installation forks the engine behind Avian Age, my MBA project, stripped back to an ambient diorama and rebuilt with tailor-made visuals for the Manawatū — its ranges, gorge, coast and dunefields, its four North Island moa, and the North Island’s own apex raptor, the kērangi (Eyles’ harrier). It is designed museum-hard from the outset: the eruption flash ramps rather than strobes (a real seizure-safety sign-off item), one-finger and wheelchair-reachable controls, a colourblind-safe palette, kiosk lockdown and auto-restart on power cycle. The engine fork and ambient layout already run; deep-time, terrain and ecology are the next build phases.</w:t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2E5A34"/>
          <w:sz w:val="25"/>
          <w:szCs w:val="25"/>
        </w:rPr>
        <w:t xml:space="preserve">Open questions for our kōrero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Which learning objectives to lock in under the Rangitāne framework — and how tikanga shapes the representation of atua, taonga species and the deep-time story.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Whether, and how, to weave in the Te Ahu a Tūranga bones.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Button naming, and how much on-screen text belongs on a visual-first screen.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Hardware: touchscreen only or with physical buttons, final portrait size, and how the kiosk feeds — or stands apart from — the immersive space.</w:t>
      </w:r>
    </w:p>
    <w:sectPr>
      <w:pgSz w:w="11906" w:h="16838" w:orient="portrait"/>
      <w:pgMar w:top="1020" w:right="1160" w:bottom="1020" w:left="1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2E5A3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 Manawa proposal</dc:creator>
  <cp:lastModifiedBy>Un-named</cp:lastModifiedBy>
  <cp:revision>1</cp:revision>
  <dcterms:created xsi:type="dcterms:W3CDTF">2026-07-16T04:11:07.725Z</dcterms:created>
  <dcterms:modified xsi:type="dcterms:W3CDTF">2026-07-16T04:11:07.725Z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