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4951" w14:textId="77777777" w:rsidR="00014452" w:rsidRPr="00C82F16" w:rsidRDefault="00014452" w:rsidP="00014452">
      <w:pPr>
        <w:pStyle w:val="PlainText"/>
        <w:jc w:val="center"/>
        <w:rPr>
          <w:rFonts w:ascii="Nunito Sans" w:hAnsi="Nunito Sans"/>
          <w:b/>
          <w:bCs/>
          <w:sz w:val="18"/>
          <w:szCs w:val="18"/>
        </w:rPr>
      </w:pPr>
      <w:r w:rsidRPr="004C6A29">
        <w:rPr>
          <w:rFonts w:ascii="Nunito Sans" w:hAnsi="Nunito Sans"/>
          <w:b/>
          <w:bCs/>
          <w:color w:val="A8BC4C"/>
          <w:sz w:val="18"/>
          <w:szCs w:val="18"/>
        </w:rPr>
        <w:t>MODULE 6: MEASUREMENT ON INITIAL RECOGNITION</w:t>
      </w:r>
    </w:p>
    <w:p w14:paraId="79406A36" w14:textId="77777777" w:rsidR="00014452" w:rsidRDefault="00014452" w:rsidP="00014452">
      <w:pPr>
        <w:pStyle w:val="PlainText"/>
        <w:rPr>
          <w:rFonts w:ascii="Nunito Sans" w:hAnsi="Nunito Sans"/>
          <w:sz w:val="18"/>
          <w:szCs w:val="18"/>
        </w:rPr>
      </w:pPr>
    </w:p>
    <w:p w14:paraId="373785E4" w14:textId="77777777" w:rsidR="00014452" w:rsidRPr="00382A04" w:rsidRDefault="00014452" w:rsidP="00014452">
      <w:pPr>
        <w:pStyle w:val="PlainText"/>
        <w:ind w:left="142"/>
        <w:rPr>
          <w:rFonts w:ascii="Nunito Sans" w:hAnsi="Nunito Sans"/>
          <w:color w:val="A8BC4C"/>
          <w:sz w:val="18"/>
          <w:szCs w:val="18"/>
        </w:rPr>
      </w:pPr>
      <w:r w:rsidRPr="00382A04">
        <w:rPr>
          <w:rFonts w:ascii="Nunito Sans" w:hAnsi="Nunito Sans"/>
          <w:b/>
          <w:bCs/>
          <w:color w:val="A8BC4C"/>
          <w:sz w:val="18"/>
          <w:szCs w:val="18"/>
        </w:rPr>
        <w:t>Introduction</w:t>
      </w:r>
    </w:p>
    <w:p w14:paraId="6818416F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b/>
          <w:bCs/>
          <w:sz w:val="18"/>
          <w:szCs w:val="18"/>
        </w:rPr>
      </w:pPr>
      <w:r w:rsidRPr="008745E0">
        <w:rPr>
          <w:rFonts w:ascii="Nunito Sans" w:hAnsi="Nunito Sans"/>
          <w:sz w:val="18"/>
          <w:szCs w:val="18"/>
        </w:rPr>
        <w:t xml:space="preserve">This module provides an in-depth </w:t>
      </w:r>
      <w:r>
        <w:rPr>
          <w:rFonts w:ascii="Nunito Sans" w:hAnsi="Nunito Sans"/>
          <w:sz w:val="18"/>
          <w:szCs w:val="18"/>
        </w:rPr>
        <w:t xml:space="preserve">overview of the initial recognition measurement requirements for insurance contracts under </w:t>
      </w:r>
      <w:r w:rsidRPr="008745E0">
        <w:rPr>
          <w:rFonts w:ascii="Nunito Sans" w:hAnsi="Nunito Sans"/>
          <w:b/>
          <w:bCs/>
          <w:sz w:val="18"/>
          <w:szCs w:val="18"/>
        </w:rPr>
        <w:t>IFRS 17</w:t>
      </w:r>
      <w:r>
        <w:rPr>
          <w:rFonts w:ascii="Nunito Sans" w:hAnsi="Nunito Sans"/>
          <w:b/>
          <w:bCs/>
          <w:sz w:val="18"/>
          <w:szCs w:val="18"/>
        </w:rPr>
        <w:t>.</w:t>
      </w:r>
    </w:p>
    <w:p w14:paraId="059335B7" w14:textId="77777777" w:rsidR="00014452" w:rsidRPr="00382A04" w:rsidRDefault="00014452" w:rsidP="00014452">
      <w:pPr>
        <w:pStyle w:val="PlainText"/>
        <w:spacing w:before="240"/>
        <w:ind w:left="142"/>
        <w:rPr>
          <w:rFonts w:ascii="Nunito Sans" w:hAnsi="Nunito Sans"/>
          <w:color w:val="A8BC4C"/>
          <w:sz w:val="18"/>
          <w:szCs w:val="18"/>
        </w:rPr>
      </w:pPr>
      <w:r w:rsidRPr="00382A04">
        <w:rPr>
          <w:rFonts w:ascii="Nunito Sans" w:hAnsi="Nunito Sans"/>
          <w:b/>
          <w:bCs/>
          <w:color w:val="A8BC4C"/>
          <w:sz w:val="18"/>
          <w:szCs w:val="18"/>
        </w:rPr>
        <w:t>Recognition Criteria</w:t>
      </w:r>
    </w:p>
    <w:p w14:paraId="7B8060A7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 xml:space="preserve">Insurance contracts must be recognized at the </w:t>
      </w:r>
      <w:proofErr w:type="gramStart"/>
      <w:r>
        <w:rPr>
          <w:rFonts w:ascii="Nunito Sans" w:hAnsi="Nunito Sans"/>
          <w:sz w:val="18"/>
          <w:szCs w:val="18"/>
        </w:rPr>
        <w:t>earliest</w:t>
      </w:r>
      <w:proofErr w:type="gramEnd"/>
      <w:r>
        <w:rPr>
          <w:rFonts w:ascii="Nunito Sans" w:hAnsi="Nunito Sans"/>
          <w:sz w:val="18"/>
          <w:szCs w:val="18"/>
        </w:rPr>
        <w:t xml:space="preserve"> of:</w:t>
      </w:r>
    </w:p>
    <w:p w14:paraId="0708E932" w14:textId="77777777" w:rsidR="00014452" w:rsidRDefault="00014452" w:rsidP="00014452">
      <w:pPr>
        <w:pStyle w:val="PlainText"/>
        <w:numPr>
          <w:ilvl w:val="0"/>
          <w:numId w:val="3"/>
        </w:numPr>
        <w:spacing w:before="240"/>
        <w:ind w:left="142" w:firstLine="0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The beginning of the coverage period;</w:t>
      </w:r>
    </w:p>
    <w:p w14:paraId="7BE6E6D2" w14:textId="77777777" w:rsidR="00014452" w:rsidRDefault="00014452" w:rsidP="00014452">
      <w:pPr>
        <w:pStyle w:val="PlainText"/>
        <w:numPr>
          <w:ilvl w:val="0"/>
          <w:numId w:val="3"/>
        </w:numPr>
        <w:spacing w:before="240"/>
        <w:ind w:left="142" w:firstLine="0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The date when the first premium is due; or</w:t>
      </w:r>
    </w:p>
    <w:p w14:paraId="64320750" w14:textId="77777777" w:rsidR="00014452" w:rsidRDefault="00014452" w:rsidP="00014452">
      <w:pPr>
        <w:pStyle w:val="PlainText"/>
        <w:numPr>
          <w:ilvl w:val="0"/>
          <w:numId w:val="3"/>
        </w:numPr>
        <w:spacing w:before="240"/>
        <w:ind w:left="142" w:firstLine="0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The date when the group of contracts becomes onerous.</w:t>
      </w:r>
    </w:p>
    <w:p w14:paraId="6E4F802C" w14:textId="77777777" w:rsidR="00014452" w:rsidRPr="00064B40" w:rsidRDefault="00014452" w:rsidP="00014452">
      <w:pPr>
        <w:pStyle w:val="PlainText"/>
        <w:spacing w:before="240"/>
        <w:ind w:left="142"/>
        <w:rPr>
          <w:rFonts w:ascii="Nunito Sans" w:hAnsi="Nunito Sans"/>
          <w:b/>
          <w:bCs/>
          <w:color w:val="A8BC4C"/>
          <w:sz w:val="18"/>
          <w:szCs w:val="18"/>
        </w:rPr>
      </w:pPr>
      <w:r w:rsidRPr="00064B40">
        <w:rPr>
          <w:rFonts w:ascii="Nunito Sans" w:hAnsi="Nunito Sans"/>
          <w:b/>
          <w:bCs/>
          <w:color w:val="A8BC4C"/>
          <w:sz w:val="18"/>
          <w:szCs w:val="18"/>
        </w:rPr>
        <w:t>Components of Measurement at Initial Recognition</w:t>
      </w:r>
    </w:p>
    <w:p w14:paraId="7AF4F857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Under the General Measurement Model (GMM), the initial measurement of a group of insurance contracts is the sum of:</w:t>
      </w:r>
    </w:p>
    <w:p w14:paraId="22E8123A" w14:textId="77777777" w:rsidR="00014452" w:rsidRPr="00385A0C" w:rsidRDefault="00014452" w:rsidP="009418E3">
      <w:pPr>
        <w:pStyle w:val="PlainText"/>
        <w:numPr>
          <w:ilvl w:val="0"/>
          <w:numId w:val="42"/>
        </w:numPr>
        <w:spacing w:before="240"/>
        <w:ind w:left="567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b/>
          <w:bCs/>
          <w:sz w:val="18"/>
          <w:szCs w:val="18"/>
        </w:rPr>
        <w:t>Fulfilment Cash Flows (FCF):</w:t>
      </w:r>
    </w:p>
    <w:p w14:paraId="3C0FEED9" w14:textId="77777777" w:rsidR="00014452" w:rsidRDefault="00014452" w:rsidP="00014452">
      <w:pPr>
        <w:pStyle w:val="PlainText"/>
        <w:numPr>
          <w:ilvl w:val="0"/>
          <w:numId w:val="5"/>
        </w:numPr>
        <w:spacing w:before="240"/>
        <w:ind w:left="142" w:firstLine="0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b/>
          <w:bCs/>
          <w:sz w:val="18"/>
          <w:szCs w:val="18"/>
        </w:rPr>
        <w:t xml:space="preserve">Future Cash Flows: </w:t>
      </w:r>
      <w:r>
        <w:rPr>
          <w:rFonts w:ascii="Nunito Sans" w:hAnsi="Nunito Sans"/>
          <w:sz w:val="18"/>
          <w:szCs w:val="18"/>
        </w:rPr>
        <w:t>Best  estimates of expected premiums, claims, benefits, and expenses.</w:t>
      </w:r>
    </w:p>
    <w:p w14:paraId="4A4AC203" w14:textId="77777777" w:rsidR="00014452" w:rsidRDefault="00014452" w:rsidP="00014452">
      <w:pPr>
        <w:pStyle w:val="PlainText"/>
        <w:numPr>
          <w:ilvl w:val="0"/>
          <w:numId w:val="5"/>
        </w:numPr>
        <w:spacing w:before="240"/>
        <w:ind w:left="142" w:firstLine="0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b/>
          <w:bCs/>
          <w:sz w:val="18"/>
          <w:szCs w:val="18"/>
        </w:rPr>
        <w:t>Discounting:</w:t>
      </w:r>
      <w:r>
        <w:rPr>
          <w:rFonts w:ascii="Nunito Sans" w:hAnsi="Nunito Sans"/>
          <w:sz w:val="18"/>
          <w:szCs w:val="18"/>
        </w:rPr>
        <w:t xml:space="preserve"> Adjustment to reflect the time value of money and financial risks.</w:t>
      </w:r>
    </w:p>
    <w:p w14:paraId="3101DC5C" w14:textId="77777777" w:rsidR="00014452" w:rsidRDefault="00014452" w:rsidP="00014452">
      <w:pPr>
        <w:pStyle w:val="PlainText"/>
        <w:numPr>
          <w:ilvl w:val="0"/>
          <w:numId w:val="5"/>
        </w:numPr>
        <w:spacing w:before="240"/>
        <w:ind w:left="142" w:firstLine="0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b/>
          <w:bCs/>
          <w:sz w:val="18"/>
          <w:szCs w:val="18"/>
        </w:rPr>
        <w:t>Risk Adjustment:</w:t>
      </w:r>
      <w:r>
        <w:rPr>
          <w:rFonts w:ascii="Nunito Sans" w:hAnsi="Nunito Sans"/>
          <w:sz w:val="18"/>
          <w:szCs w:val="18"/>
        </w:rPr>
        <w:t xml:space="preserve"> Compensation for being uncertainty in non-financial risks (e.g. mortality, lapse)</w:t>
      </w:r>
    </w:p>
    <w:p w14:paraId="2F6F8526" w14:textId="77777777" w:rsidR="00014452" w:rsidRDefault="00014452" w:rsidP="009418E3">
      <w:pPr>
        <w:pStyle w:val="PlainText"/>
        <w:numPr>
          <w:ilvl w:val="0"/>
          <w:numId w:val="42"/>
        </w:numPr>
        <w:spacing w:before="240"/>
        <w:ind w:left="567"/>
        <w:rPr>
          <w:rFonts w:ascii="Nunito Sans" w:hAnsi="Nunito Sans"/>
          <w:sz w:val="18"/>
          <w:szCs w:val="18"/>
        </w:rPr>
      </w:pPr>
      <w:r w:rsidRPr="00AD6D32">
        <w:rPr>
          <w:rFonts w:ascii="Nunito Sans" w:hAnsi="Nunito Sans"/>
          <w:b/>
          <w:bCs/>
          <w:sz w:val="18"/>
          <w:szCs w:val="18"/>
        </w:rPr>
        <w:t>Unallocated Loss Adjustment Expenses (ULAE)</w:t>
      </w:r>
      <w:r w:rsidRPr="00AD6D32">
        <w:rPr>
          <w:rFonts w:ascii="Nunito Sans" w:hAnsi="Nunito Sans"/>
          <w:sz w:val="18"/>
          <w:szCs w:val="18"/>
        </w:rPr>
        <w:t>: Expected internal claims handling costs that are not directly linked to individual claims. ULAE should be estimated at inception and included in fulfilment cash flows for future claims.</w:t>
      </w:r>
    </w:p>
    <w:p w14:paraId="6453C078" w14:textId="77777777" w:rsidR="00014452" w:rsidRPr="009D57CD" w:rsidRDefault="00014452" w:rsidP="009418E3">
      <w:pPr>
        <w:pStyle w:val="PlainText"/>
        <w:numPr>
          <w:ilvl w:val="0"/>
          <w:numId w:val="42"/>
        </w:numPr>
        <w:spacing w:before="240"/>
        <w:ind w:left="567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b/>
          <w:bCs/>
          <w:sz w:val="18"/>
          <w:szCs w:val="18"/>
        </w:rPr>
        <w:t>Contractual Service Margin (CSM):</w:t>
      </w:r>
    </w:p>
    <w:p w14:paraId="7C0BA83D" w14:textId="77777777" w:rsidR="00014452" w:rsidRDefault="00014452" w:rsidP="00014452">
      <w:pPr>
        <w:pStyle w:val="PlainText"/>
        <w:numPr>
          <w:ilvl w:val="0"/>
          <w:numId w:val="37"/>
        </w:numPr>
        <w:spacing w:before="240"/>
        <w:ind w:left="142" w:firstLine="0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Represents unearned profit.</w:t>
      </w:r>
    </w:p>
    <w:p w14:paraId="66421489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sz w:val="18"/>
          <w:szCs w:val="18"/>
        </w:rPr>
      </w:pPr>
      <w:r w:rsidRPr="00522FDB">
        <w:rPr>
          <w:rFonts w:ascii="Nunito Sans" w:hAnsi="Nunito Sans"/>
          <w:sz w:val="18"/>
          <w:szCs w:val="18"/>
        </w:rPr>
        <w:t>The Premium Allocation Approach (PAA) is a simplified method permitted for short-duration contracts or when it provides measurements that are not materially different from those produced under the General Measurement Model (GMM)</w:t>
      </w:r>
    </w:p>
    <w:p w14:paraId="101AA6A9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At initial recognition:</w:t>
      </w:r>
    </w:p>
    <w:p w14:paraId="69786188" w14:textId="77777777" w:rsidR="00014452" w:rsidRDefault="00014452" w:rsidP="00014452">
      <w:pPr>
        <w:pStyle w:val="PlainText"/>
        <w:numPr>
          <w:ilvl w:val="0"/>
          <w:numId w:val="38"/>
        </w:numPr>
        <w:spacing w:before="240"/>
        <w:rPr>
          <w:rFonts w:ascii="Nunito Sans" w:hAnsi="Nunito Sans"/>
          <w:sz w:val="18"/>
          <w:szCs w:val="18"/>
        </w:rPr>
      </w:pPr>
      <w:r w:rsidRPr="001C2493">
        <w:rPr>
          <w:rFonts w:ascii="Nunito Sans" w:hAnsi="Nunito Sans"/>
          <w:sz w:val="18"/>
          <w:szCs w:val="18"/>
        </w:rPr>
        <w:t>The liability</w:t>
      </w:r>
      <w:r w:rsidRPr="003A4EE7">
        <w:rPr>
          <w:rFonts w:ascii="Nunito Sans" w:hAnsi="Nunito Sans"/>
          <w:sz w:val="18"/>
          <w:szCs w:val="18"/>
        </w:rPr>
        <w:t xml:space="preserve"> is measured as: premiums received (or due) – insurance acquisition cash flows</w:t>
      </w:r>
    </w:p>
    <w:p w14:paraId="4A428AD4" w14:textId="77777777" w:rsidR="00014452" w:rsidRDefault="00014452" w:rsidP="00014452">
      <w:pPr>
        <w:pStyle w:val="PlainText"/>
        <w:numPr>
          <w:ilvl w:val="0"/>
          <w:numId w:val="38"/>
        </w:numPr>
        <w:spacing w:before="240"/>
        <w:rPr>
          <w:rFonts w:ascii="Nunito Sans" w:hAnsi="Nunito Sans"/>
          <w:sz w:val="18"/>
          <w:szCs w:val="18"/>
        </w:rPr>
      </w:pPr>
      <w:r w:rsidRPr="00483FA3">
        <w:rPr>
          <w:rFonts w:ascii="Nunito Sans" w:hAnsi="Nunito Sans"/>
          <w:sz w:val="18"/>
          <w:szCs w:val="18"/>
        </w:rPr>
        <w:t xml:space="preserve">Acquisition costs may be </w:t>
      </w:r>
      <w:proofErr w:type="gramStart"/>
      <w:r w:rsidRPr="00483FA3">
        <w:rPr>
          <w:rFonts w:ascii="Nunito Sans" w:hAnsi="Nunito Sans"/>
          <w:sz w:val="18"/>
          <w:szCs w:val="18"/>
        </w:rPr>
        <w:t>expensed</w:t>
      </w:r>
      <w:proofErr w:type="gramEnd"/>
      <w:r w:rsidRPr="00483FA3">
        <w:rPr>
          <w:rFonts w:ascii="Nunito Sans" w:hAnsi="Nunito Sans"/>
          <w:sz w:val="18"/>
          <w:szCs w:val="18"/>
        </w:rPr>
        <w:t xml:space="preserve"> immediately or deferred, depending on the entity’s policy</w:t>
      </w:r>
    </w:p>
    <w:p w14:paraId="75D4BA7C" w14:textId="77777777" w:rsidR="00014452" w:rsidRDefault="00014452" w:rsidP="00014452">
      <w:pPr>
        <w:rPr>
          <w:b/>
          <w:bCs/>
          <w:szCs w:val="18"/>
          <w:u w:val="single"/>
        </w:rPr>
      </w:pPr>
      <w:r>
        <w:rPr>
          <w:b/>
          <w:bCs/>
          <w:szCs w:val="18"/>
          <w:u w:val="single"/>
        </w:rPr>
        <w:br w:type="page"/>
      </w:r>
    </w:p>
    <w:p w14:paraId="7D030E38" w14:textId="77777777" w:rsidR="00014452" w:rsidRPr="001113DB" w:rsidRDefault="00014452" w:rsidP="00014452">
      <w:pPr>
        <w:pStyle w:val="PlainText"/>
        <w:ind w:left="142"/>
        <w:rPr>
          <w:rFonts w:ascii="Nunito Sans" w:hAnsi="Nunito Sans"/>
          <w:b/>
          <w:bCs/>
          <w:color w:val="A8BC4C"/>
          <w:sz w:val="18"/>
          <w:szCs w:val="18"/>
          <w:u w:val="single"/>
        </w:rPr>
      </w:pPr>
      <w:r w:rsidRPr="001113DB">
        <w:rPr>
          <w:rFonts w:ascii="Nunito Sans" w:hAnsi="Nunito Sans"/>
          <w:b/>
          <w:bCs/>
          <w:color w:val="A8BC4C"/>
          <w:sz w:val="18"/>
          <w:szCs w:val="18"/>
        </w:rPr>
        <w:lastRenderedPageBreak/>
        <w:t>Measurement Approaches Overview</w:t>
      </w:r>
    </w:p>
    <w:p w14:paraId="79457F30" w14:textId="77777777" w:rsidR="00014452" w:rsidRPr="00B1790E" w:rsidRDefault="00014452" w:rsidP="00014452">
      <w:pPr>
        <w:pStyle w:val="PlainText"/>
        <w:ind w:left="-289"/>
        <w:jc w:val="both"/>
        <w:rPr>
          <w:rFonts w:ascii="Nunito Sans" w:hAnsi="Nunito Sans"/>
          <w:b/>
          <w:bCs/>
          <w:sz w:val="18"/>
          <w:szCs w:val="18"/>
          <w:u w:val="single"/>
        </w:rPr>
      </w:pPr>
    </w:p>
    <w:tbl>
      <w:tblPr>
        <w:tblW w:w="11883" w:type="dxa"/>
        <w:jc w:val="center"/>
        <w:tblLook w:val="04A0" w:firstRow="1" w:lastRow="0" w:firstColumn="1" w:lastColumn="0" w:noHBand="0" w:noVBand="1"/>
      </w:tblPr>
      <w:tblGrid>
        <w:gridCol w:w="3567"/>
        <w:gridCol w:w="3854"/>
        <w:gridCol w:w="4462"/>
      </w:tblGrid>
      <w:tr w:rsidR="00014452" w:rsidRPr="00A05D2B" w14:paraId="5A6571D6" w14:textId="77777777" w:rsidTr="00844DB2">
        <w:trPr>
          <w:trHeight w:val="366"/>
          <w:jc w:val="center"/>
        </w:trPr>
        <w:tc>
          <w:tcPr>
            <w:tcW w:w="3567" w:type="dxa"/>
            <w:tcBorders>
              <w:top w:val="single" w:sz="8" w:space="0" w:color="FFFFFF"/>
              <w:left w:val="single" w:sz="8" w:space="0" w:color="FFFFFF"/>
              <w:bottom w:val="single" w:sz="4" w:space="0" w:color="E0C484"/>
              <w:right w:val="nil"/>
            </w:tcBorders>
            <w:shd w:val="clear" w:color="auto" w:fill="A8BC4C"/>
            <w:vAlign w:val="center"/>
            <w:hideMark/>
          </w:tcPr>
          <w:p w14:paraId="7A2D5696" w14:textId="77777777" w:rsidR="00014452" w:rsidRPr="00A05D2B" w:rsidRDefault="00014452" w:rsidP="00844DB2">
            <w:pPr>
              <w:spacing w:after="0" w:line="240" w:lineRule="auto"/>
              <w:ind w:firstLineChars="100" w:firstLine="181"/>
              <w:rPr>
                <w:rFonts w:eastAsia="Times New Roman" w:cs="Calibri"/>
                <w:b/>
                <w:bCs/>
                <w:color w:val="FFFFFF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b/>
                <w:bCs/>
                <w:color w:val="FFFFFF"/>
                <w:kern w:val="0"/>
                <w:szCs w:val="18"/>
                <w14:ligatures w14:val="none"/>
              </w:rPr>
              <w:t>Measurement Model</w:t>
            </w:r>
          </w:p>
        </w:tc>
        <w:tc>
          <w:tcPr>
            <w:tcW w:w="3854" w:type="dxa"/>
            <w:tcBorders>
              <w:top w:val="single" w:sz="8" w:space="0" w:color="FFFFFF"/>
              <w:left w:val="nil"/>
              <w:bottom w:val="single" w:sz="4" w:space="0" w:color="E0C484"/>
              <w:right w:val="nil"/>
            </w:tcBorders>
            <w:shd w:val="clear" w:color="auto" w:fill="A8BC4C"/>
            <w:vAlign w:val="center"/>
            <w:hideMark/>
          </w:tcPr>
          <w:p w14:paraId="385FA5F7" w14:textId="77777777" w:rsidR="00014452" w:rsidRPr="00A05D2B" w:rsidRDefault="00014452" w:rsidP="00844DB2">
            <w:pPr>
              <w:spacing w:after="0" w:line="240" w:lineRule="auto"/>
              <w:ind w:firstLineChars="100" w:firstLine="181"/>
              <w:rPr>
                <w:rFonts w:eastAsia="Times New Roman" w:cs="Calibri"/>
                <w:b/>
                <w:bCs/>
                <w:color w:val="FFFFFF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b/>
                <w:bCs/>
                <w:color w:val="FFFFFF"/>
                <w:kern w:val="0"/>
                <w:szCs w:val="18"/>
                <w14:ligatures w14:val="none"/>
              </w:rPr>
              <w:t>Applicability</w:t>
            </w:r>
          </w:p>
        </w:tc>
        <w:tc>
          <w:tcPr>
            <w:tcW w:w="4462" w:type="dxa"/>
            <w:tcBorders>
              <w:top w:val="single" w:sz="8" w:space="0" w:color="FFFFFF"/>
              <w:left w:val="nil"/>
              <w:bottom w:val="single" w:sz="4" w:space="0" w:color="E0C484"/>
              <w:right w:val="nil"/>
            </w:tcBorders>
            <w:shd w:val="clear" w:color="auto" w:fill="A8BC4C"/>
            <w:vAlign w:val="center"/>
            <w:hideMark/>
          </w:tcPr>
          <w:p w14:paraId="486EB6BE" w14:textId="77777777" w:rsidR="00014452" w:rsidRPr="00A05D2B" w:rsidRDefault="00014452" w:rsidP="00844DB2">
            <w:pPr>
              <w:spacing w:after="0" w:line="240" w:lineRule="auto"/>
              <w:ind w:firstLineChars="100" w:firstLine="181"/>
              <w:rPr>
                <w:rFonts w:eastAsia="Times New Roman" w:cs="Calibri"/>
                <w:b/>
                <w:bCs/>
                <w:color w:val="FFFFFF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b/>
                <w:bCs/>
                <w:color w:val="FFFFFF"/>
                <w:kern w:val="0"/>
                <w:szCs w:val="18"/>
                <w14:ligatures w14:val="none"/>
              </w:rPr>
              <w:t>Key Features</w:t>
            </w:r>
          </w:p>
        </w:tc>
      </w:tr>
      <w:tr w:rsidR="00014452" w:rsidRPr="00A05D2B" w14:paraId="55D95962" w14:textId="77777777" w:rsidTr="00844DB2">
        <w:trPr>
          <w:trHeight w:val="266"/>
          <w:jc w:val="center"/>
        </w:trPr>
        <w:tc>
          <w:tcPr>
            <w:tcW w:w="3567" w:type="dxa"/>
            <w:tcBorders>
              <w:top w:val="single" w:sz="4" w:space="0" w:color="E0C484"/>
              <w:left w:val="single" w:sz="8" w:space="0" w:color="FFFFFF"/>
              <w:bottom w:val="single" w:sz="4" w:space="0" w:color="E0C484"/>
              <w:right w:val="single" w:sz="4" w:space="0" w:color="E0C484"/>
            </w:tcBorders>
            <w:shd w:val="clear" w:color="auto" w:fill="auto"/>
            <w:vAlign w:val="center"/>
            <w:hideMark/>
          </w:tcPr>
          <w:p w14:paraId="00CCFE48" w14:textId="77777777" w:rsidR="00014452" w:rsidRPr="00A05D2B" w:rsidRDefault="00014452" w:rsidP="00844DB2">
            <w:pPr>
              <w:spacing w:after="0" w:line="240" w:lineRule="auto"/>
              <w:ind w:firstLineChars="100" w:firstLine="181"/>
              <w:rPr>
                <w:rFonts w:eastAsia="Times New Roman" w:cs="Calibri"/>
                <w:b/>
                <w:bCs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b/>
                <w:bCs/>
                <w:kern w:val="0"/>
                <w:szCs w:val="18"/>
                <w14:ligatures w14:val="none"/>
              </w:rPr>
              <w:t>General Measurement Model (GMM)</w:t>
            </w:r>
          </w:p>
        </w:tc>
        <w:tc>
          <w:tcPr>
            <w:tcW w:w="3854" w:type="dxa"/>
            <w:tcBorders>
              <w:top w:val="single" w:sz="4" w:space="0" w:color="E0C484"/>
              <w:left w:val="single" w:sz="4" w:space="0" w:color="E0C484"/>
              <w:bottom w:val="single" w:sz="4" w:space="0" w:color="E0C484"/>
              <w:right w:val="single" w:sz="4" w:space="0" w:color="E0C484"/>
            </w:tcBorders>
            <w:shd w:val="clear" w:color="auto" w:fill="auto"/>
            <w:vAlign w:val="center"/>
            <w:hideMark/>
          </w:tcPr>
          <w:p w14:paraId="5343B3F9" w14:textId="77777777" w:rsidR="00014452" w:rsidRPr="00A05D2B" w:rsidRDefault="00014452" w:rsidP="00844DB2">
            <w:pPr>
              <w:spacing w:after="0" w:line="240" w:lineRule="auto"/>
              <w:ind w:firstLineChars="100" w:firstLine="180"/>
              <w:rPr>
                <w:rFonts w:eastAsia="Times New Roman" w:cs="Calibri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kern w:val="0"/>
                <w:szCs w:val="18"/>
                <w14:ligatures w14:val="none"/>
              </w:rPr>
              <w:t>Default model for long-duration contracts</w:t>
            </w:r>
          </w:p>
        </w:tc>
        <w:tc>
          <w:tcPr>
            <w:tcW w:w="4462" w:type="dxa"/>
            <w:tcBorders>
              <w:top w:val="single" w:sz="4" w:space="0" w:color="E0C484"/>
              <w:left w:val="single" w:sz="4" w:space="0" w:color="E0C484"/>
              <w:bottom w:val="single" w:sz="4" w:space="0" w:color="E0C484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675C2A8D" w14:textId="77777777" w:rsidR="00014452" w:rsidRPr="00A05D2B" w:rsidRDefault="00014452" w:rsidP="00844DB2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color w:val="000000"/>
                <w:kern w:val="0"/>
                <w:szCs w:val="18"/>
                <w14:ligatures w14:val="none"/>
              </w:rPr>
              <w:t>Includes FCF, Discounting, Risk Adjustment, CSM</w:t>
            </w:r>
          </w:p>
        </w:tc>
      </w:tr>
      <w:tr w:rsidR="00014452" w:rsidRPr="00A05D2B" w14:paraId="11BE9A3E" w14:textId="77777777" w:rsidTr="00844DB2">
        <w:trPr>
          <w:trHeight w:val="266"/>
          <w:jc w:val="center"/>
        </w:trPr>
        <w:tc>
          <w:tcPr>
            <w:tcW w:w="3567" w:type="dxa"/>
            <w:tcBorders>
              <w:top w:val="single" w:sz="4" w:space="0" w:color="E0C484"/>
              <w:left w:val="single" w:sz="8" w:space="0" w:color="FFFFFF"/>
              <w:bottom w:val="single" w:sz="4" w:space="0" w:color="E0C484"/>
              <w:right w:val="single" w:sz="4" w:space="0" w:color="E0C484"/>
            </w:tcBorders>
            <w:shd w:val="clear" w:color="auto" w:fill="auto"/>
            <w:vAlign w:val="center"/>
            <w:hideMark/>
          </w:tcPr>
          <w:p w14:paraId="0E46EF9A" w14:textId="77777777" w:rsidR="00014452" w:rsidRPr="00A05D2B" w:rsidRDefault="00014452" w:rsidP="00844DB2">
            <w:pPr>
              <w:spacing w:after="0" w:line="240" w:lineRule="auto"/>
              <w:ind w:firstLineChars="100" w:firstLine="181"/>
              <w:rPr>
                <w:rFonts w:eastAsia="Times New Roman" w:cs="Calibri"/>
                <w:b/>
                <w:bCs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b/>
                <w:bCs/>
                <w:kern w:val="0"/>
                <w:szCs w:val="18"/>
                <w14:ligatures w14:val="none"/>
              </w:rPr>
              <w:t>Premium Allocation Approach (PAA)</w:t>
            </w:r>
          </w:p>
        </w:tc>
        <w:tc>
          <w:tcPr>
            <w:tcW w:w="3854" w:type="dxa"/>
            <w:tcBorders>
              <w:top w:val="single" w:sz="4" w:space="0" w:color="E0C484"/>
              <w:left w:val="single" w:sz="4" w:space="0" w:color="E0C484"/>
              <w:bottom w:val="single" w:sz="4" w:space="0" w:color="E0C484"/>
              <w:right w:val="single" w:sz="4" w:space="0" w:color="E0C484"/>
            </w:tcBorders>
            <w:shd w:val="clear" w:color="auto" w:fill="auto"/>
            <w:vAlign w:val="center"/>
            <w:hideMark/>
          </w:tcPr>
          <w:p w14:paraId="5262A91B" w14:textId="77777777" w:rsidR="00014452" w:rsidRPr="00A05D2B" w:rsidRDefault="00014452" w:rsidP="00844DB2">
            <w:pPr>
              <w:spacing w:after="0" w:line="240" w:lineRule="auto"/>
              <w:ind w:firstLineChars="100" w:firstLine="180"/>
              <w:rPr>
                <w:rFonts w:eastAsia="Times New Roman" w:cs="Calibri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kern w:val="0"/>
                <w:szCs w:val="18"/>
                <w14:ligatures w14:val="none"/>
              </w:rPr>
              <w:t>Optional for short-duration contracts</w:t>
            </w:r>
          </w:p>
        </w:tc>
        <w:tc>
          <w:tcPr>
            <w:tcW w:w="4462" w:type="dxa"/>
            <w:tcBorders>
              <w:top w:val="single" w:sz="4" w:space="0" w:color="E0C484"/>
              <w:left w:val="single" w:sz="4" w:space="0" w:color="E0C484"/>
              <w:bottom w:val="single" w:sz="4" w:space="0" w:color="E0C484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2DFE598F" w14:textId="77777777" w:rsidR="00014452" w:rsidRPr="00A05D2B" w:rsidRDefault="00014452" w:rsidP="00844DB2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color w:val="000000"/>
                <w:kern w:val="0"/>
                <w:szCs w:val="18"/>
                <w14:ligatures w14:val="none"/>
              </w:rPr>
              <w:t>Simplified method, no explicit CSM</w:t>
            </w:r>
          </w:p>
        </w:tc>
      </w:tr>
      <w:tr w:rsidR="00014452" w:rsidRPr="00A05D2B" w14:paraId="5AEAFB11" w14:textId="77777777" w:rsidTr="00844DB2">
        <w:trPr>
          <w:trHeight w:val="266"/>
          <w:jc w:val="center"/>
        </w:trPr>
        <w:tc>
          <w:tcPr>
            <w:tcW w:w="3567" w:type="dxa"/>
            <w:tcBorders>
              <w:top w:val="single" w:sz="4" w:space="0" w:color="E0C484"/>
              <w:left w:val="single" w:sz="8" w:space="0" w:color="FFFFFF"/>
              <w:bottom w:val="single" w:sz="4" w:space="0" w:color="E0C484"/>
              <w:right w:val="single" w:sz="4" w:space="0" w:color="E0C484"/>
            </w:tcBorders>
            <w:shd w:val="clear" w:color="auto" w:fill="auto"/>
            <w:vAlign w:val="center"/>
            <w:hideMark/>
          </w:tcPr>
          <w:p w14:paraId="58300773" w14:textId="77777777" w:rsidR="00014452" w:rsidRPr="00A05D2B" w:rsidRDefault="00014452" w:rsidP="00844DB2">
            <w:pPr>
              <w:spacing w:after="0" w:line="240" w:lineRule="auto"/>
              <w:ind w:firstLineChars="100" w:firstLine="181"/>
              <w:rPr>
                <w:rFonts w:eastAsia="Times New Roman" w:cs="Calibri"/>
                <w:b/>
                <w:bCs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b/>
                <w:bCs/>
                <w:kern w:val="0"/>
                <w:szCs w:val="18"/>
                <w14:ligatures w14:val="none"/>
              </w:rPr>
              <w:t>Variable Fee Approach (VFA)</w:t>
            </w:r>
          </w:p>
        </w:tc>
        <w:tc>
          <w:tcPr>
            <w:tcW w:w="3854" w:type="dxa"/>
            <w:tcBorders>
              <w:top w:val="single" w:sz="4" w:space="0" w:color="E0C484"/>
              <w:left w:val="single" w:sz="4" w:space="0" w:color="E0C484"/>
              <w:bottom w:val="single" w:sz="4" w:space="0" w:color="E0C484"/>
              <w:right w:val="single" w:sz="4" w:space="0" w:color="E0C484"/>
            </w:tcBorders>
            <w:shd w:val="clear" w:color="auto" w:fill="auto"/>
            <w:vAlign w:val="center"/>
            <w:hideMark/>
          </w:tcPr>
          <w:p w14:paraId="459AB931" w14:textId="77777777" w:rsidR="00014452" w:rsidRPr="00A05D2B" w:rsidRDefault="00014452" w:rsidP="00844DB2">
            <w:pPr>
              <w:spacing w:after="0" w:line="240" w:lineRule="auto"/>
              <w:ind w:firstLineChars="100" w:firstLine="180"/>
              <w:rPr>
                <w:rFonts w:eastAsia="Times New Roman" w:cs="Calibri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kern w:val="0"/>
                <w:szCs w:val="18"/>
                <w14:ligatures w14:val="none"/>
              </w:rPr>
              <w:t xml:space="preserve">For contracts with direct participation </w:t>
            </w:r>
            <w:r>
              <w:rPr>
                <w:rFonts w:eastAsia="Times New Roman" w:cs="Calibri"/>
                <w:kern w:val="0"/>
                <w:szCs w:val="18"/>
                <w14:ligatures w14:val="none"/>
              </w:rPr>
              <w:t xml:space="preserve">  </w:t>
            </w:r>
            <w:r w:rsidRPr="00A05D2B">
              <w:rPr>
                <w:rFonts w:eastAsia="Times New Roman" w:cs="Calibri"/>
                <w:kern w:val="0"/>
                <w:szCs w:val="18"/>
                <w14:ligatures w14:val="none"/>
              </w:rPr>
              <w:t>features</w:t>
            </w:r>
          </w:p>
        </w:tc>
        <w:tc>
          <w:tcPr>
            <w:tcW w:w="4462" w:type="dxa"/>
            <w:tcBorders>
              <w:top w:val="single" w:sz="4" w:space="0" w:color="E0C484"/>
              <w:left w:val="single" w:sz="4" w:space="0" w:color="E0C484"/>
              <w:bottom w:val="single" w:sz="4" w:space="0" w:color="E0C484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5BBF74A6" w14:textId="77777777" w:rsidR="00014452" w:rsidRPr="00A05D2B" w:rsidRDefault="00014452" w:rsidP="00844DB2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kern w:val="0"/>
                <w:szCs w:val="18"/>
                <w14:ligatures w14:val="none"/>
              </w:rPr>
            </w:pPr>
            <w:r w:rsidRPr="00A05D2B">
              <w:rPr>
                <w:rFonts w:eastAsia="Times New Roman" w:cs="Calibri"/>
                <w:color w:val="000000"/>
                <w:kern w:val="0"/>
                <w:szCs w:val="18"/>
                <w14:ligatures w14:val="none"/>
              </w:rPr>
              <w:t>CSM adjusts based on underlying asset returns</w:t>
            </w:r>
          </w:p>
        </w:tc>
      </w:tr>
    </w:tbl>
    <w:p w14:paraId="03AE9133" w14:textId="77777777" w:rsidR="00014452" w:rsidRDefault="00014452" w:rsidP="00014452">
      <w:pPr>
        <w:pStyle w:val="PlainText"/>
        <w:ind w:left="1440"/>
        <w:rPr>
          <w:rFonts w:ascii="Nunito Sans" w:hAnsi="Nunito Sans"/>
          <w:b/>
          <w:bCs/>
          <w:sz w:val="18"/>
          <w:szCs w:val="18"/>
          <w:u w:val="single"/>
        </w:rPr>
      </w:pPr>
    </w:p>
    <w:p w14:paraId="5B04F2B8" w14:textId="77777777" w:rsidR="00014452" w:rsidRPr="00064B40" w:rsidRDefault="00014452" w:rsidP="00014452">
      <w:pPr>
        <w:pStyle w:val="PlainText"/>
        <w:ind w:left="142"/>
        <w:rPr>
          <w:rFonts w:ascii="Nunito Sans" w:hAnsi="Nunito Sans"/>
          <w:b/>
          <w:bCs/>
          <w:color w:val="A8BC4C"/>
          <w:sz w:val="18"/>
          <w:szCs w:val="18"/>
          <w:u w:val="single"/>
        </w:rPr>
      </w:pPr>
      <w:r w:rsidRPr="00064B40">
        <w:rPr>
          <w:rFonts w:ascii="Nunito Sans" w:hAnsi="Nunito Sans"/>
          <w:b/>
          <w:bCs/>
          <w:color w:val="A8BC4C"/>
          <w:sz w:val="18"/>
          <w:szCs w:val="18"/>
        </w:rPr>
        <w:t>Contractual Service Margin (CSM)</w:t>
      </w:r>
    </w:p>
    <w:p w14:paraId="67E06897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The CSM is the key component that defers recognition of profits until insurance services are provided. At initial recognition:</w:t>
      </w:r>
    </w:p>
    <w:p w14:paraId="27194A57" w14:textId="77777777" w:rsidR="00014452" w:rsidRDefault="00014452" w:rsidP="00014452">
      <w:pPr>
        <w:pStyle w:val="PlainText"/>
        <w:numPr>
          <w:ilvl w:val="0"/>
          <w:numId w:val="39"/>
        </w:numPr>
        <w:spacing w:before="240"/>
        <w:ind w:left="426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>CSM=Fulfilment cash inflows -outflows-risk adjustment.</w:t>
      </w:r>
    </w:p>
    <w:p w14:paraId="1045AB26" w14:textId="77777777" w:rsidR="00014452" w:rsidRDefault="00014452" w:rsidP="00014452">
      <w:pPr>
        <w:pStyle w:val="PlainText"/>
        <w:numPr>
          <w:ilvl w:val="0"/>
          <w:numId w:val="39"/>
        </w:numPr>
        <w:spacing w:before="240"/>
        <w:ind w:left="426"/>
        <w:rPr>
          <w:rFonts w:ascii="Nunito Sans" w:hAnsi="Nunito Sans"/>
          <w:sz w:val="18"/>
          <w:szCs w:val="18"/>
        </w:rPr>
      </w:pPr>
      <w:r>
        <w:rPr>
          <w:rFonts w:ascii="Nunito Sans" w:hAnsi="Nunito Sans"/>
          <w:sz w:val="18"/>
          <w:szCs w:val="18"/>
        </w:rPr>
        <w:t xml:space="preserve">If the result is negative; the contract is </w:t>
      </w:r>
      <w:r>
        <w:rPr>
          <w:rFonts w:ascii="Nunito Sans" w:hAnsi="Nunito Sans"/>
          <w:b/>
          <w:bCs/>
          <w:sz w:val="18"/>
          <w:szCs w:val="18"/>
        </w:rPr>
        <w:t xml:space="preserve">onerous, </w:t>
      </w:r>
      <w:r>
        <w:rPr>
          <w:rFonts w:ascii="Nunito Sans" w:hAnsi="Nunito Sans"/>
          <w:sz w:val="18"/>
          <w:szCs w:val="18"/>
        </w:rPr>
        <w:t>and a loss is recognized immediately in profit or loss.</w:t>
      </w:r>
    </w:p>
    <w:p w14:paraId="5BC3857A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b/>
          <w:bCs/>
          <w:sz w:val="18"/>
          <w:szCs w:val="18"/>
        </w:rPr>
        <w:t>Scenario:</w:t>
      </w:r>
    </w:p>
    <w:p w14:paraId="76E48DC1" w14:textId="77777777" w:rsidR="00014452" w:rsidRPr="000259AA" w:rsidRDefault="00014452" w:rsidP="00014452">
      <w:pPr>
        <w:pStyle w:val="PlainText"/>
        <w:numPr>
          <w:ilvl w:val="0"/>
          <w:numId w:val="6"/>
        </w:numPr>
        <w:spacing w:before="240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sz w:val="18"/>
          <w:szCs w:val="18"/>
        </w:rPr>
        <w:t>Expected premiums: KES 1,200</w:t>
      </w:r>
    </w:p>
    <w:p w14:paraId="391F2FA8" w14:textId="77777777" w:rsidR="00014452" w:rsidRPr="00747D76" w:rsidRDefault="00014452" w:rsidP="00014452">
      <w:pPr>
        <w:pStyle w:val="PlainText"/>
        <w:numPr>
          <w:ilvl w:val="0"/>
          <w:numId w:val="6"/>
        </w:numPr>
        <w:spacing w:before="240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sz w:val="18"/>
          <w:szCs w:val="18"/>
        </w:rPr>
        <w:t>Expected claims &amp; expenses: KES 900</w:t>
      </w:r>
    </w:p>
    <w:p w14:paraId="7C741452" w14:textId="77777777" w:rsidR="00014452" w:rsidRPr="00747D76" w:rsidRDefault="00014452" w:rsidP="00014452">
      <w:pPr>
        <w:pStyle w:val="PlainText"/>
        <w:numPr>
          <w:ilvl w:val="0"/>
          <w:numId w:val="6"/>
        </w:numPr>
        <w:spacing w:before="240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sz w:val="18"/>
          <w:szCs w:val="18"/>
        </w:rPr>
        <w:t>Risk Adjustment: KES 50</w:t>
      </w:r>
    </w:p>
    <w:p w14:paraId="0C3C9B42" w14:textId="77777777" w:rsidR="00014452" w:rsidRPr="003561BF" w:rsidRDefault="00014452" w:rsidP="00014452">
      <w:pPr>
        <w:pStyle w:val="PlainText"/>
        <w:numPr>
          <w:ilvl w:val="0"/>
          <w:numId w:val="6"/>
        </w:numPr>
        <w:spacing w:before="240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sz w:val="18"/>
          <w:szCs w:val="18"/>
        </w:rPr>
        <w:t>Discounting impact: KES 100</w:t>
      </w:r>
    </w:p>
    <w:p w14:paraId="0C1CE40F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b/>
          <w:bCs/>
          <w:sz w:val="18"/>
          <w:szCs w:val="18"/>
        </w:rPr>
        <w:t>Calculation:</w:t>
      </w:r>
    </w:p>
    <w:p w14:paraId="4B65C5F3" w14:textId="77777777" w:rsidR="00014452" w:rsidRPr="00B7465A" w:rsidRDefault="00014452" w:rsidP="00014452">
      <w:pPr>
        <w:pStyle w:val="PlainText"/>
        <w:numPr>
          <w:ilvl w:val="0"/>
          <w:numId w:val="6"/>
        </w:numPr>
        <w:spacing w:before="240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sz w:val="18"/>
          <w:szCs w:val="18"/>
        </w:rPr>
        <w:t>Fulfilment Cash Flows = KES 1,200-KES 900-KES 100-KES 50= KES 150</w:t>
      </w:r>
    </w:p>
    <w:p w14:paraId="1A67E574" w14:textId="77777777" w:rsidR="00014452" w:rsidRPr="003D7919" w:rsidRDefault="00014452" w:rsidP="00014452">
      <w:pPr>
        <w:pStyle w:val="PlainText"/>
        <w:numPr>
          <w:ilvl w:val="0"/>
          <w:numId w:val="6"/>
        </w:numPr>
        <w:spacing w:before="240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b/>
          <w:bCs/>
          <w:sz w:val="18"/>
          <w:szCs w:val="18"/>
        </w:rPr>
        <w:t xml:space="preserve">CSM= KES 150 </w:t>
      </w:r>
      <w:r>
        <w:rPr>
          <w:rFonts w:ascii="Nunito Sans" w:hAnsi="Nunito Sans"/>
          <w:sz w:val="18"/>
          <w:szCs w:val="18"/>
        </w:rPr>
        <w:t xml:space="preserve"> which is to be released over the coverage period.</w:t>
      </w:r>
    </w:p>
    <w:p w14:paraId="1EDA5561" w14:textId="77777777" w:rsidR="00014452" w:rsidRPr="00064B40" w:rsidRDefault="00014452" w:rsidP="00014452">
      <w:pPr>
        <w:pStyle w:val="PlainText"/>
        <w:spacing w:before="240"/>
        <w:ind w:left="142"/>
        <w:rPr>
          <w:rFonts w:ascii="Nunito Sans" w:hAnsi="Nunito Sans"/>
          <w:b/>
          <w:bCs/>
          <w:color w:val="A8BC4C"/>
          <w:sz w:val="18"/>
          <w:szCs w:val="18"/>
        </w:rPr>
      </w:pPr>
      <w:r w:rsidRPr="00064B40">
        <w:rPr>
          <w:rFonts w:ascii="Nunito Sans" w:hAnsi="Nunito Sans"/>
          <w:b/>
          <w:bCs/>
          <w:color w:val="A8BC4C"/>
          <w:sz w:val="18"/>
          <w:szCs w:val="18"/>
        </w:rPr>
        <w:t>Treatment of Onerous Contracts</w:t>
      </w:r>
    </w:p>
    <w:p w14:paraId="390A3398" w14:textId="77777777" w:rsidR="00014452" w:rsidRDefault="00014452" w:rsidP="00014452">
      <w:pPr>
        <w:pStyle w:val="PlainText"/>
        <w:spacing w:before="240"/>
        <w:ind w:left="142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sz w:val="18"/>
          <w:szCs w:val="18"/>
        </w:rPr>
        <w:t xml:space="preserve">If the total of expected outflows + risk adjustment exceeds the inflows, the contract is </w:t>
      </w:r>
      <w:r>
        <w:rPr>
          <w:rFonts w:ascii="Nunito Sans" w:hAnsi="Nunito Sans"/>
          <w:b/>
          <w:bCs/>
          <w:sz w:val="18"/>
          <w:szCs w:val="18"/>
        </w:rPr>
        <w:t>onerous.</w:t>
      </w:r>
    </w:p>
    <w:p w14:paraId="576A2163" w14:textId="77777777" w:rsidR="00014452" w:rsidRPr="00C9515B" w:rsidRDefault="00014452" w:rsidP="00014452">
      <w:pPr>
        <w:pStyle w:val="PlainText"/>
        <w:numPr>
          <w:ilvl w:val="0"/>
          <w:numId w:val="40"/>
        </w:numPr>
        <w:spacing w:before="240"/>
        <w:ind w:left="426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sz w:val="18"/>
          <w:szCs w:val="18"/>
        </w:rPr>
        <w:t>No CSM is recognized.</w:t>
      </w:r>
    </w:p>
    <w:p w14:paraId="1D8FC4A2" w14:textId="77777777" w:rsidR="00014452" w:rsidRPr="001022C2" w:rsidRDefault="00014452" w:rsidP="00014452">
      <w:pPr>
        <w:pStyle w:val="PlainText"/>
        <w:numPr>
          <w:ilvl w:val="0"/>
          <w:numId w:val="40"/>
        </w:numPr>
        <w:spacing w:before="240"/>
        <w:ind w:left="426"/>
        <w:rPr>
          <w:rFonts w:ascii="Nunito Sans" w:hAnsi="Nunito Sans"/>
          <w:b/>
          <w:bCs/>
          <w:sz w:val="18"/>
          <w:szCs w:val="18"/>
        </w:rPr>
      </w:pPr>
      <w:r>
        <w:rPr>
          <w:rFonts w:ascii="Nunito Sans" w:hAnsi="Nunito Sans"/>
          <w:sz w:val="18"/>
          <w:szCs w:val="18"/>
        </w:rPr>
        <w:t>The difference is recorded as a loss in profit or loss</w:t>
      </w:r>
    </w:p>
    <w:p w14:paraId="2F774362" w14:textId="77777777" w:rsidR="00014452" w:rsidRDefault="00014452" w:rsidP="00014452">
      <w:pPr>
        <w:rPr>
          <w:szCs w:val="18"/>
        </w:rPr>
      </w:pPr>
      <w:r>
        <w:rPr>
          <w:szCs w:val="18"/>
        </w:rPr>
        <w:br w:type="page"/>
      </w:r>
    </w:p>
    <w:p w14:paraId="0D60D9DA" w14:textId="77777777" w:rsidR="00014452" w:rsidRPr="00BC2333" w:rsidRDefault="00014452" w:rsidP="00014452">
      <w:pPr>
        <w:pStyle w:val="PlainText"/>
        <w:spacing w:before="240"/>
        <w:ind w:left="142"/>
        <w:jc w:val="center"/>
        <w:rPr>
          <w:rFonts w:ascii="Nunito Sans" w:hAnsi="Nunito Sans"/>
          <w:b/>
          <w:bCs/>
          <w:color w:val="A8BC4C"/>
          <w:sz w:val="18"/>
          <w:szCs w:val="18"/>
        </w:rPr>
      </w:pPr>
      <w:r w:rsidRPr="00BC2333">
        <w:rPr>
          <w:rFonts w:ascii="Nunito Sans" w:hAnsi="Nunito Sans"/>
          <w:b/>
          <w:bCs/>
          <w:color w:val="A8BC4C"/>
          <w:sz w:val="18"/>
          <w:szCs w:val="18"/>
        </w:rPr>
        <w:lastRenderedPageBreak/>
        <w:t>Summary of Measurement at Initial Recognition</w:t>
      </w:r>
    </w:p>
    <w:p w14:paraId="57922C1A" w14:textId="77777777" w:rsidR="00014452" w:rsidRDefault="00014452" w:rsidP="00014452">
      <w:pPr>
        <w:pStyle w:val="PlainText"/>
        <w:spacing w:before="240"/>
        <w:ind w:left="862"/>
        <w:jc w:val="center"/>
        <w:rPr>
          <w:rFonts w:ascii="Nunito Sans" w:hAnsi="Nunito Sans"/>
          <w:b/>
          <w:bCs/>
          <w:sz w:val="18"/>
          <w:szCs w:val="18"/>
        </w:rPr>
      </w:pPr>
      <w:r w:rsidRPr="00115B30">
        <w:rPr>
          <w:noProof/>
        </w:rPr>
        <w:drawing>
          <wp:anchor distT="0" distB="0" distL="114300" distR="114300" simplePos="0" relativeHeight="251659264" behindDoc="1" locked="0" layoutInCell="1" allowOverlap="1" wp14:anchorId="274246A0" wp14:editId="349C42CA">
            <wp:simplePos x="0" y="0"/>
            <wp:positionH relativeFrom="column">
              <wp:posOffset>1608162</wp:posOffset>
            </wp:positionH>
            <wp:positionV relativeFrom="paragraph">
              <wp:posOffset>310662</wp:posOffset>
            </wp:positionV>
            <wp:extent cx="3018155" cy="7691755"/>
            <wp:effectExtent l="0" t="0" r="0" b="4445"/>
            <wp:wrapTopAndBottom/>
            <wp:docPr id="15182613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6137" name="Picture 1" descr="A diagram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2CC38" w14:textId="77777777" w:rsidR="00014452" w:rsidRPr="00722017" w:rsidRDefault="00014452" w:rsidP="00014452">
      <w:pPr>
        <w:pStyle w:val="PlainText"/>
        <w:spacing w:before="240"/>
        <w:rPr>
          <w:rFonts w:ascii="Nunito Sans" w:hAnsi="Nunito Sans"/>
          <w:b/>
          <w:bCs/>
          <w:color w:val="A8BC4C"/>
          <w:sz w:val="18"/>
          <w:szCs w:val="18"/>
        </w:rPr>
      </w:pPr>
      <w:r w:rsidRPr="00722017">
        <w:rPr>
          <w:rFonts w:ascii="Nunito Sans" w:hAnsi="Nunito Sans"/>
          <w:b/>
          <w:bCs/>
          <w:color w:val="A8BC4C"/>
          <w:sz w:val="18"/>
          <w:szCs w:val="18"/>
        </w:rPr>
        <w:lastRenderedPageBreak/>
        <w:t>KEY TAKEWAYS</w:t>
      </w:r>
    </w:p>
    <w:p w14:paraId="6F5153F6" w14:textId="77777777" w:rsidR="00014452" w:rsidRDefault="00014452" w:rsidP="00014452">
      <w:pPr>
        <w:pStyle w:val="PlainText"/>
        <w:numPr>
          <w:ilvl w:val="0"/>
          <w:numId w:val="41"/>
        </w:numPr>
        <w:spacing w:before="240"/>
        <w:ind w:left="426"/>
        <w:rPr>
          <w:rFonts w:ascii="Nunito Sans" w:hAnsi="Nunito Sans"/>
          <w:sz w:val="18"/>
          <w:szCs w:val="18"/>
        </w:rPr>
      </w:pPr>
      <w:r w:rsidRPr="004D293F">
        <w:rPr>
          <w:rFonts w:ascii="Nunito Sans" w:hAnsi="Nunito Sans"/>
          <w:sz w:val="18"/>
          <w:szCs w:val="18"/>
        </w:rPr>
        <w:t>Contracts are recognized when the earliest recognition condition is met.</w:t>
      </w:r>
    </w:p>
    <w:p w14:paraId="1E0EF97C" w14:textId="77777777" w:rsidR="00014452" w:rsidRDefault="00014452" w:rsidP="00014452">
      <w:pPr>
        <w:pStyle w:val="PlainText"/>
        <w:numPr>
          <w:ilvl w:val="0"/>
          <w:numId w:val="41"/>
        </w:numPr>
        <w:spacing w:before="240"/>
        <w:ind w:left="426"/>
        <w:rPr>
          <w:rFonts w:ascii="Nunito Sans" w:hAnsi="Nunito Sans"/>
          <w:sz w:val="18"/>
          <w:szCs w:val="18"/>
        </w:rPr>
      </w:pPr>
      <w:r w:rsidRPr="000B7455">
        <w:rPr>
          <w:rFonts w:ascii="Nunito Sans" w:hAnsi="Nunito Sans"/>
          <w:sz w:val="18"/>
          <w:szCs w:val="18"/>
        </w:rPr>
        <w:t xml:space="preserve">Measurement includes </w:t>
      </w:r>
      <w:r w:rsidRPr="000B7455">
        <w:rPr>
          <w:rFonts w:ascii="Nunito Sans" w:hAnsi="Nunito Sans"/>
          <w:b/>
          <w:bCs/>
          <w:sz w:val="18"/>
          <w:szCs w:val="18"/>
        </w:rPr>
        <w:t>future cash flows, discounting, risk adjustment, ULAE, and CSM (under GMM)</w:t>
      </w:r>
      <w:r w:rsidRPr="000B7455">
        <w:rPr>
          <w:rFonts w:ascii="Nunito Sans" w:hAnsi="Nunito Sans"/>
          <w:sz w:val="18"/>
          <w:szCs w:val="18"/>
        </w:rPr>
        <w:t>.</w:t>
      </w:r>
    </w:p>
    <w:p w14:paraId="3F85B9ED" w14:textId="77777777" w:rsidR="00014452" w:rsidRPr="00266927" w:rsidRDefault="00014452" w:rsidP="00014452">
      <w:pPr>
        <w:pStyle w:val="PlainText"/>
        <w:numPr>
          <w:ilvl w:val="0"/>
          <w:numId w:val="41"/>
        </w:numPr>
        <w:spacing w:before="240"/>
        <w:ind w:left="426"/>
        <w:rPr>
          <w:rFonts w:ascii="Nunito Sans" w:hAnsi="Nunito Sans"/>
          <w:sz w:val="18"/>
          <w:szCs w:val="18"/>
        </w:rPr>
      </w:pPr>
      <w:r w:rsidRPr="00266927">
        <w:rPr>
          <w:rFonts w:ascii="Nunito Sans" w:hAnsi="Nunito Sans"/>
          <w:sz w:val="18"/>
          <w:szCs w:val="18"/>
        </w:rPr>
        <w:t xml:space="preserve">The CSM ensures </w:t>
      </w:r>
      <w:r w:rsidRPr="00B45B81">
        <w:rPr>
          <w:rFonts w:ascii="Nunito Sans" w:hAnsi="Nunito Sans"/>
          <w:sz w:val="18"/>
          <w:szCs w:val="18"/>
        </w:rPr>
        <w:t>no upfront profit</w:t>
      </w:r>
      <w:r w:rsidRPr="00266927">
        <w:rPr>
          <w:rFonts w:ascii="Nunito Sans" w:hAnsi="Nunito Sans"/>
          <w:sz w:val="18"/>
          <w:szCs w:val="18"/>
        </w:rPr>
        <w:t>.</w:t>
      </w:r>
      <w:r w:rsidRPr="00B45B81">
        <w:rPr>
          <w:rFonts w:ascii="Nunito Sans" w:hAnsi="Nunito Sans"/>
          <w:sz w:val="18"/>
          <w:szCs w:val="18"/>
        </w:rPr>
        <w:t xml:space="preserve"> </w:t>
      </w:r>
      <w:r w:rsidRPr="001B0C99">
        <w:rPr>
          <w:rFonts w:ascii="Nunito Sans" w:hAnsi="Nunito Sans"/>
          <w:sz w:val="18"/>
          <w:szCs w:val="18"/>
        </w:rPr>
        <w:t>and is adjusted only for changes in future service</w:t>
      </w:r>
    </w:p>
    <w:p w14:paraId="083A9590" w14:textId="77777777" w:rsidR="00014452" w:rsidRPr="00266927" w:rsidRDefault="00014452" w:rsidP="00014452">
      <w:pPr>
        <w:pStyle w:val="PlainText"/>
        <w:numPr>
          <w:ilvl w:val="0"/>
          <w:numId w:val="41"/>
        </w:numPr>
        <w:spacing w:before="240"/>
        <w:ind w:left="426"/>
        <w:rPr>
          <w:rFonts w:ascii="Nunito Sans" w:hAnsi="Nunito Sans"/>
          <w:sz w:val="18"/>
          <w:szCs w:val="18"/>
        </w:rPr>
      </w:pPr>
      <w:r w:rsidRPr="00B45B81">
        <w:rPr>
          <w:rFonts w:ascii="Nunito Sans" w:hAnsi="Nunito Sans"/>
          <w:sz w:val="18"/>
          <w:szCs w:val="18"/>
        </w:rPr>
        <w:t>Onerous contracts</w:t>
      </w:r>
      <w:r w:rsidRPr="00266927">
        <w:rPr>
          <w:rFonts w:ascii="Nunito Sans" w:hAnsi="Nunito Sans"/>
          <w:sz w:val="18"/>
          <w:szCs w:val="18"/>
        </w:rPr>
        <w:t xml:space="preserve"> result in immediate loss recognition.</w:t>
      </w:r>
    </w:p>
    <w:p w14:paraId="4A886E55" w14:textId="77777777" w:rsidR="00014452" w:rsidRDefault="00014452" w:rsidP="00014452">
      <w:pPr>
        <w:pStyle w:val="PlainText"/>
        <w:numPr>
          <w:ilvl w:val="0"/>
          <w:numId w:val="41"/>
        </w:numPr>
        <w:spacing w:before="240"/>
        <w:ind w:left="426"/>
        <w:rPr>
          <w:rFonts w:ascii="Nunito Sans" w:hAnsi="Nunito Sans"/>
          <w:sz w:val="18"/>
          <w:szCs w:val="18"/>
        </w:rPr>
      </w:pPr>
      <w:r w:rsidRPr="00140088">
        <w:rPr>
          <w:rFonts w:ascii="Nunito Sans" w:hAnsi="Nunito Sans"/>
          <w:sz w:val="18"/>
          <w:szCs w:val="18"/>
        </w:rPr>
        <w:t xml:space="preserve">Choosing between the GMM and PAA depends on </w:t>
      </w:r>
      <w:proofErr w:type="gramStart"/>
      <w:r w:rsidRPr="00140088">
        <w:rPr>
          <w:rFonts w:ascii="Nunito Sans" w:hAnsi="Nunito Sans"/>
          <w:sz w:val="18"/>
          <w:szCs w:val="18"/>
        </w:rPr>
        <w:t>contract</w:t>
      </w:r>
      <w:proofErr w:type="gramEnd"/>
      <w:r w:rsidRPr="00140088">
        <w:rPr>
          <w:rFonts w:ascii="Nunito Sans" w:hAnsi="Nunito Sans"/>
          <w:sz w:val="18"/>
          <w:szCs w:val="18"/>
        </w:rPr>
        <w:t xml:space="preserve"> duration and materiality of results.</w:t>
      </w:r>
    </w:p>
    <w:p w14:paraId="6EFD957B" w14:textId="77777777" w:rsidR="00014452" w:rsidRPr="00266927" w:rsidRDefault="00014452" w:rsidP="00014452">
      <w:pPr>
        <w:pStyle w:val="PlainText"/>
        <w:numPr>
          <w:ilvl w:val="0"/>
          <w:numId w:val="41"/>
        </w:numPr>
        <w:spacing w:before="240"/>
        <w:ind w:left="426"/>
        <w:rPr>
          <w:rFonts w:ascii="Nunito Sans" w:hAnsi="Nunito Sans"/>
          <w:sz w:val="18"/>
          <w:szCs w:val="18"/>
        </w:rPr>
      </w:pPr>
      <w:r w:rsidRPr="00DD764A">
        <w:rPr>
          <w:rFonts w:ascii="Nunito Sans" w:hAnsi="Nunito Sans"/>
          <w:sz w:val="18"/>
          <w:szCs w:val="18"/>
        </w:rPr>
        <w:t>Acquisition costs are handled differently under GMM (included in FCFs) and PAA (either deferred or expensed).</w:t>
      </w:r>
    </w:p>
    <w:p w14:paraId="115C9163" w14:textId="77777777" w:rsidR="00014452" w:rsidRDefault="00014452" w:rsidP="00014452">
      <w:pPr>
        <w:rPr>
          <w:b/>
          <w:bCs/>
          <w:szCs w:val="18"/>
        </w:rPr>
      </w:pPr>
    </w:p>
    <w:p w14:paraId="1430DBD2" w14:textId="230782A4" w:rsidR="00266927" w:rsidRPr="00AC2F15" w:rsidRDefault="00266927" w:rsidP="00AC2F15"/>
    <w:sectPr w:rsidR="00266927" w:rsidRPr="00AC2F15" w:rsidSect="00A027E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AF8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183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90941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14CC5"/>
    <w:multiLevelType w:val="hybridMultilevel"/>
    <w:tmpl w:val="C55E37D8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C485021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EE3741"/>
    <w:multiLevelType w:val="hybridMultilevel"/>
    <w:tmpl w:val="880E082E"/>
    <w:lvl w:ilvl="0" w:tplc="04090017">
      <w:start w:val="1"/>
      <w:numFmt w:val="lowerLetter"/>
      <w:lvlText w:val="%1)"/>
      <w:lvlJc w:val="left"/>
      <w:pPr>
        <w:ind w:left="289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6" w15:restartNumberingAfterBreak="0">
    <w:nsid w:val="11273801"/>
    <w:multiLevelType w:val="hybridMultilevel"/>
    <w:tmpl w:val="FCA6146E"/>
    <w:lvl w:ilvl="0" w:tplc="45E834DC">
      <w:start w:val="1"/>
      <w:numFmt w:val="lowerLetter"/>
      <w:lvlText w:val="%1)"/>
      <w:lvlJc w:val="left"/>
      <w:pPr>
        <w:ind w:left="28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95C0364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967637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9205AA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C51B64"/>
    <w:multiLevelType w:val="hybridMultilevel"/>
    <w:tmpl w:val="299C92AA"/>
    <w:lvl w:ilvl="0" w:tplc="04090013">
      <w:start w:val="1"/>
      <w:numFmt w:val="upp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30F239D"/>
    <w:multiLevelType w:val="hybridMultilevel"/>
    <w:tmpl w:val="354630B4"/>
    <w:lvl w:ilvl="0" w:tplc="AF84CB76">
      <w:start w:val="1"/>
      <w:numFmt w:val="lowerLetter"/>
      <w:lvlText w:val="%1)"/>
      <w:lvlJc w:val="left"/>
      <w:pPr>
        <w:ind w:left="2892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2" w15:restartNumberingAfterBreak="0">
    <w:nsid w:val="23B9385D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185622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7C54CC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601DBA"/>
    <w:multiLevelType w:val="hybridMultilevel"/>
    <w:tmpl w:val="B0FC3E84"/>
    <w:lvl w:ilvl="0" w:tplc="9FB8BC2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13008B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BB33A4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500AC7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342F6C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9A1655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BF08CF"/>
    <w:multiLevelType w:val="hybridMultilevel"/>
    <w:tmpl w:val="18B88AD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C733E"/>
    <w:multiLevelType w:val="hybridMultilevel"/>
    <w:tmpl w:val="DD2C79FC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C527AFD"/>
    <w:multiLevelType w:val="hybridMultilevel"/>
    <w:tmpl w:val="28549F38"/>
    <w:lvl w:ilvl="0" w:tplc="FFFFFFFF">
      <w:start w:val="1"/>
      <w:numFmt w:val="lowerLetter"/>
      <w:lvlText w:val="%1)"/>
      <w:lvlJc w:val="left"/>
      <w:pPr>
        <w:ind w:left="2892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24" w15:restartNumberingAfterBreak="0">
    <w:nsid w:val="5F951367"/>
    <w:multiLevelType w:val="hybridMultilevel"/>
    <w:tmpl w:val="30CC808C"/>
    <w:lvl w:ilvl="0" w:tplc="FFFFFFFF">
      <w:start w:val="1"/>
      <w:numFmt w:val="lowerLetter"/>
      <w:lvlText w:val="%1)"/>
      <w:lvlJc w:val="left"/>
      <w:pPr>
        <w:ind w:left="2892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25" w15:restartNumberingAfterBreak="0">
    <w:nsid w:val="602C5211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994339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A76F50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C86827"/>
    <w:multiLevelType w:val="hybridMultilevel"/>
    <w:tmpl w:val="DFD215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24506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FB6566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5B5CE4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F34183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0B09DA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2014F7"/>
    <w:multiLevelType w:val="hybridMultilevel"/>
    <w:tmpl w:val="C1B2790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3100D7C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AA1471"/>
    <w:multiLevelType w:val="hybridMultilevel"/>
    <w:tmpl w:val="354630B4"/>
    <w:lvl w:ilvl="0" w:tplc="FFFFFFFF">
      <w:start w:val="1"/>
      <w:numFmt w:val="lowerLetter"/>
      <w:lvlText w:val="%1)"/>
      <w:lvlJc w:val="left"/>
      <w:pPr>
        <w:ind w:left="2892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37" w15:restartNumberingAfterBreak="0">
    <w:nsid w:val="773570D0"/>
    <w:multiLevelType w:val="multilevel"/>
    <w:tmpl w:val="6488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224FA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3C12C0"/>
    <w:multiLevelType w:val="hybridMultilevel"/>
    <w:tmpl w:val="99CA6B9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DDC259F"/>
    <w:multiLevelType w:val="hybridMultilevel"/>
    <w:tmpl w:val="ED4A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A4E5B"/>
    <w:multiLevelType w:val="hybridMultilevel"/>
    <w:tmpl w:val="99CA6B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8640993">
    <w:abstractNumId w:val="40"/>
  </w:num>
  <w:num w:numId="2" w16cid:durableId="635987055">
    <w:abstractNumId w:val="15"/>
  </w:num>
  <w:num w:numId="3" w16cid:durableId="37896482">
    <w:abstractNumId w:val="34"/>
  </w:num>
  <w:num w:numId="4" w16cid:durableId="1672101618">
    <w:abstractNumId w:val="6"/>
  </w:num>
  <w:num w:numId="5" w16cid:durableId="2041513193">
    <w:abstractNumId w:val="5"/>
  </w:num>
  <w:num w:numId="6" w16cid:durableId="494029358">
    <w:abstractNumId w:val="3"/>
  </w:num>
  <w:num w:numId="7" w16cid:durableId="1102652289">
    <w:abstractNumId w:val="22"/>
  </w:num>
  <w:num w:numId="8" w16cid:durableId="1986615951">
    <w:abstractNumId w:val="37"/>
  </w:num>
  <w:num w:numId="9" w16cid:durableId="1682004149">
    <w:abstractNumId w:val="21"/>
  </w:num>
  <w:num w:numId="10" w16cid:durableId="1568413002">
    <w:abstractNumId w:val="41"/>
  </w:num>
  <w:num w:numId="11" w16cid:durableId="22101467">
    <w:abstractNumId w:val="9"/>
  </w:num>
  <w:num w:numId="12" w16cid:durableId="1777020318">
    <w:abstractNumId w:val="8"/>
  </w:num>
  <w:num w:numId="13" w16cid:durableId="654918167">
    <w:abstractNumId w:val="25"/>
  </w:num>
  <w:num w:numId="14" w16cid:durableId="697319403">
    <w:abstractNumId w:val="33"/>
  </w:num>
  <w:num w:numId="15" w16cid:durableId="1999378094">
    <w:abstractNumId w:val="19"/>
  </w:num>
  <w:num w:numId="16" w16cid:durableId="67845067">
    <w:abstractNumId w:val="12"/>
  </w:num>
  <w:num w:numId="17" w16cid:durableId="934871346">
    <w:abstractNumId w:val="2"/>
  </w:num>
  <w:num w:numId="18" w16cid:durableId="613753072">
    <w:abstractNumId w:val="18"/>
  </w:num>
  <w:num w:numId="19" w16cid:durableId="1826773113">
    <w:abstractNumId w:val="14"/>
  </w:num>
  <w:num w:numId="20" w16cid:durableId="1286153235">
    <w:abstractNumId w:val="4"/>
  </w:num>
  <w:num w:numId="21" w16cid:durableId="1896890192">
    <w:abstractNumId w:val="39"/>
  </w:num>
  <w:num w:numId="22" w16cid:durableId="2050949">
    <w:abstractNumId w:val="16"/>
  </w:num>
  <w:num w:numId="23" w16cid:durableId="1408307721">
    <w:abstractNumId w:val="31"/>
  </w:num>
  <w:num w:numId="24" w16cid:durableId="1184133064">
    <w:abstractNumId w:val="17"/>
  </w:num>
  <w:num w:numId="25" w16cid:durableId="1708948972">
    <w:abstractNumId w:val="20"/>
  </w:num>
  <w:num w:numId="26" w16cid:durableId="50081784">
    <w:abstractNumId w:val="1"/>
  </w:num>
  <w:num w:numId="27" w16cid:durableId="1639257413">
    <w:abstractNumId w:val="0"/>
  </w:num>
  <w:num w:numId="28" w16cid:durableId="744298825">
    <w:abstractNumId w:val="27"/>
  </w:num>
  <w:num w:numId="29" w16cid:durableId="1157497836">
    <w:abstractNumId w:val="38"/>
  </w:num>
  <w:num w:numId="30" w16cid:durableId="278798188">
    <w:abstractNumId w:val="32"/>
  </w:num>
  <w:num w:numId="31" w16cid:durableId="185943599">
    <w:abstractNumId w:val="35"/>
  </w:num>
  <w:num w:numId="32" w16cid:durableId="391275481">
    <w:abstractNumId w:val="26"/>
  </w:num>
  <w:num w:numId="33" w16cid:durableId="1308516348">
    <w:abstractNumId w:val="30"/>
  </w:num>
  <w:num w:numId="34" w16cid:durableId="755905825">
    <w:abstractNumId w:val="29"/>
  </w:num>
  <w:num w:numId="35" w16cid:durableId="1274164528">
    <w:abstractNumId w:val="7"/>
  </w:num>
  <w:num w:numId="36" w16cid:durableId="377705936">
    <w:abstractNumId w:val="13"/>
  </w:num>
  <w:num w:numId="37" w16cid:durableId="149516611">
    <w:abstractNumId w:val="24"/>
  </w:num>
  <w:num w:numId="38" w16cid:durableId="612785557">
    <w:abstractNumId w:val="28"/>
  </w:num>
  <w:num w:numId="39" w16cid:durableId="140539206">
    <w:abstractNumId w:val="23"/>
  </w:num>
  <w:num w:numId="40" w16cid:durableId="2033071889">
    <w:abstractNumId w:val="11"/>
  </w:num>
  <w:num w:numId="41" w16cid:durableId="1514227586">
    <w:abstractNumId w:val="36"/>
  </w:num>
  <w:num w:numId="42" w16cid:durableId="241522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37"/>
    <w:rsid w:val="00014452"/>
    <w:rsid w:val="00017AB7"/>
    <w:rsid w:val="000259AA"/>
    <w:rsid w:val="00063E52"/>
    <w:rsid w:val="00064B40"/>
    <w:rsid w:val="00083F77"/>
    <w:rsid w:val="00086E5C"/>
    <w:rsid w:val="000925C0"/>
    <w:rsid w:val="000A0273"/>
    <w:rsid w:val="000A3ED0"/>
    <w:rsid w:val="000B7455"/>
    <w:rsid w:val="000C2BFD"/>
    <w:rsid w:val="000D3F23"/>
    <w:rsid w:val="000D6408"/>
    <w:rsid w:val="000D7605"/>
    <w:rsid w:val="000E5AFF"/>
    <w:rsid w:val="001022C2"/>
    <w:rsid w:val="00105C0D"/>
    <w:rsid w:val="0010637C"/>
    <w:rsid w:val="00106FCF"/>
    <w:rsid w:val="001113DB"/>
    <w:rsid w:val="00112119"/>
    <w:rsid w:val="001170D0"/>
    <w:rsid w:val="00140088"/>
    <w:rsid w:val="00143DF4"/>
    <w:rsid w:val="0014420C"/>
    <w:rsid w:val="0015098B"/>
    <w:rsid w:val="00166A0B"/>
    <w:rsid w:val="00166D7C"/>
    <w:rsid w:val="001827A8"/>
    <w:rsid w:val="001A17B1"/>
    <w:rsid w:val="001A619D"/>
    <w:rsid w:val="001B0C99"/>
    <w:rsid w:val="001E7EC0"/>
    <w:rsid w:val="00235D41"/>
    <w:rsid w:val="00257FEB"/>
    <w:rsid w:val="00266927"/>
    <w:rsid w:val="00284439"/>
    <w:rsid w:val="002A4FB4"/>
    <w:rsid w:val="002F4A91"/>
    <w:rsid w:val="003172B9"/>
    <w:rsid w:val="00325017"/>
    <w:rsid w:val="003561BF"/>
    <w:rsid w:val="00381F43"/>
    <w:rsid w:val="00382A04"/>
    <w:rsid w:val="0038408E"/>
    <w:rsid w:val="00385A0C"/>
    <w:rsid w:val="003A4EE7"/>
    <w:rsid w:val="003C2DBE"/>
    <w:rsid w:val="003D7919"/>
    <w:rsid w:val="003D7F52"/>
    <w:rsid w:val="003E19C8"/>
    <w:rsid w:val="004223D2"/>
    <w:rsid w:val="00482396"/>
    <w:rsid w:val="00483FA3"/>
    <w:rsid w:val="00491E8B"/>
    <w:rsid w:val="004A4033"/>
    <w:rsid w:val="004C6A29"/>
    <w:rsid w:val="004D293F"/>
    <w:rsid w:val="004E4BB5"/>
    <w:rsid w:val="004E62EF"/>
    <w:rsid w:val="0050581B"/>
    <w:rsid w:val="00506405"/>
    <w:rsid w:val="00522FDB"/>
    <w:rsid w:val="00524071"/>
    <w:rsid w:val="005311C7"/>
    <w:rsid w:val="00534490"/>
    <w:rsid w:val="0054651D"/>
    <w:rsid w:val="005716E0"/>
    <w:rsid w:val="00572F0D"/>
    <w:rsid w:val="00572F58"/>
    <w:rsid w:val="00582CDB"/>
    <w:rsid w:val="0058710E"/>
    <w:rsid w:val="005C2E8C"/>
    <w:rsid w:val="005E003F"/>
    <w:rsid w:val="005E150D"/>
    <w:rsid w:val="005E2537"/>
    <w:rsid w:val="005E2EC2"/>
    <w:rsid w:val="00623FA6"/>
    <w:rsid w:val="00627CCE"/>
    <w:rsid w:val="00683CC0"/>
    <w:rsid w:val="006B7332"/>
    <w:rsid w:val="006C656D"/>
    <w:rsid w:val="006F11AF"/>
    <w:rsid w:val="00722017"/>
    <w:rsid w:val="00747D76"/>
    <w:rsid w:val="00752D3D"/>
    <w:rsid w:val="00756328"/>
    <w:rsid w:val="0078338C"/>
    <w:rsid w:val="007A7D02"/>
    <w:rsid w:val="007C014C"/>
    <w:rsid w:val="007C3DE2"/>
    <w:rsid w:val="007E300E"/>
    <w:rsid w:val="007F2B2F"/>
    <w:rsid w:val="008154A7"/>
    <w:rsid w:val="008171EB"/>
    <w:rsid w:val="00845195"/>
    <w:rsid w:val="00854F38"/>
    <w:rsid w:val="00870C71"/>
    <w:rsid w:val="008745E0"/>
    <w:rsid w:val="008A2837"/>
    <w:rsid w:val="00915488"/>
    <w:rsid w:val="00915F9B"/>
    <w:rsid w:val="00922C48"/>
    <w:rsid w:val="009339B9"/>
    <w:rsid w:val="00936CBA"/>
    <w:rsid w:val="009418E3"/>
    <w:rsid w:val="009613CC"/>
    <w:rsid w:val="009614A5"/>
    <w:rsid w:val="009A0E3D"/>
    <w:rsid w:val="009B224F"/>
    <w:rsid w:val="009C16A3"/>
    <w:rsid w:val="009C6515"/>
    <w:rsid w:val="009D57CD"/>
    <w:rsid w:val="009D6F84"/>
    <w:rsid w:val="009D72E7"/>
    <w:rsid w:val="00A027EF"/>
    <w:rsid w:val="00A05D2B"/>
    <w:rsid w:val="00A3201E"/>
    <w:rsid w:val="00A3343F"/>
    <w:rsid w:val="00A675E4"/>
    <w:rsid w:val="00A67665"/>
    <w:rsid w:val="00A720A2"/>
    <w:rsid w:val="00A74988"/>
    <w:rsid w:val="00A8691B"/>
    <w:rsid w:val="00AB7611"/>
    <w:rsid w:val="00AC2536"/>
    <w:rsid w:val="00AC2F15"/>
    <w:rsid w:val="00AD6D32"/>
    <w:rsid w:val="00AF1FBC"/>
    <w:rsid w:val="00B06852"/>
    <w:rsid w:val="00B11A23"/>
    <w:rsid w:val="00B1790E"/>
    <w:rsid w:val="00B22700"/>
    <w:rsid w:val="00B30B93"/>
    <w:rsid w:val="00B57D15"/>
    <w:rsid w:val="00B63530"/>
    <w:rsid w:val="00B70B2E"/>
    <w:rsid w:val="00B73622"/>
    <w:rsid w:val="00B7465A"/>
    <w:rsid w:val="00B852D2"/>
    <w:rsid w:val="00BE4CFE"/>
    <w:rsid w:val="00BF787B"/>
    <w:rsid w:val="00C06FDD"/>
    <w:rsid w:val="00C312AC"/>
    <w:rsid w:val="00C46B7B"/>
    <w:rsid w:val="00C50B29"/>
    <w:rsid w:val="00C54237"/>
    <w:rsid w:val="00C74AF2"/>
    <w:rsid w:val="00C82F16"/>
    <w:rsid w:val="00C857DB"/>
    <w:rsid w:val="00C9515B"/>
    <w:rsid w:val="00CA3E88"/>
    <w:rsid w:val="00CA616B"/>
    <w:rsid w:val="00CB40B4"/>
    <w:rsid w:val="00CB617D"/>
    <w:rsid w:val="00CF19A5"/>
    <w:rsid w:val="00CF553C"/>
    <w:rsid w:val="00D12973"/>
    <w:rsid w:val="00D810E3"/>
    <w:rsid w:val="00DA4753"/>
    <w:rsid w:val="00DA5501"/>
    <w:rsid w:val="00DC03CF"/>
    <w:rsid w:val="00DD102B"/>
    <w:rsid w:val="00DD4487"/>
    <w:rsid w:val="00DD764A"/>
    <w:rsid w:val="00E11650"/>
    <w:rsid w:val="00E168DA"/>
    <w:rsid w:val="00E25550"/>
    <w:rsid w:val="00E260B1"/>
    <w:rsid w:val="00E412A6"/>
    <w:rsid w:val="00E42DBF"/>
    <w:rsid w:val="00E652BA"/>
    <w:rsid w:val="00E73393"/>
    <w:rsid w:val="00EB2C7F"/>
    <w:rsid w:val="00EB7847"/>
    <w:rsid w:val="00EC2A6E"/>
    <w:rsid w:val="00EC77A4"/>
    <w:rsid w:val="00EE2A25"/>
    <w:rsid w:val="00F1146E"/>
    <w:rsid w:val="00F26854"/>
    <w:rsid w:val="00F34C4C"/>
    <w:rsid w:val="00F40F64"/>
    <w:rsid w:val="00F54CD9"/>
    <w:rsid w:val="00F626A0"/>
    <w:rsid w:val="00F8454D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390"/>
  <w15:chartTrackingRefBased/>
  <w15:docId w15:val="{9B3A0133-4769-45E4-8945-F38BD126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unito Sans" w:eastAsiaTheme="minorHAnsi" w:hAnsi="Nunito Sans" w:cs="Courier New"/>
        <w:kern w:val="2"/>
        <w:sz w:val="18"/>
        <w:szCs w:val="21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27EF"/>
    <w:pPr>
      <w:spacing w:after="0" w:line="240" w:lineRule="auto"/>
    </w:pPr>
    <w:rPr>
      <w:rFonts w:ascii="Consolas" w:hAnsi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7EF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6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6927"/>
    <w:rPr>
      <w:b/>
      <w:bCs/>
    </w:rPr>
  </w:style>
  <w:style w:type="paragraph" w:styleId="ListParagraph">
    <w:name w:val="List Paragraph"/>
    <w:basedOn w:val="Normal"/>
    <w:uiPriority w:val="34"/>
    <w:qFormat/>
    <w:rsid w:val="00870C71"/>
    <w:pPr>
      <w:ind w:left="720"/>
      <w:contextualSpacing/>
    </w:pPr>
    <w:rPr>
      <w:rFonts w:cstheme="min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4567-388D-4CD9-A1C3-9457A10C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Musyoka</dc:creator>
  <cp:keywords/>
  <dc:description/>
  <cp:lastModifiedBy>Robin Ochieng</cp:lastModifiedBy>
  <cp:revision>2</cp:revision>
  <dcterms:created xsi:type="dcterms:W3CDTF">2025-05-23T06:53:00Z</dcterms:created>
  <dcterms:modified xsi:type="dcterms:W3CDTF">2025-05-23T06:53:00Z</dcterms:modified>
</cp:coreProperties>
</file>