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6B71D" w14:textId="77777777" w:rsidR="00EA21BA" w:rsidRPr="00913697" w:rsidRDefault="00EA21BA" w:rsidP="00EA21BA">
      <w:pPr>
        <w:pStyle w:val="PlainText"/>
        <w:jc w:val="center"/>
        <w:rPr>
          <w:rFonts w:ascii="Nunito Sans" w:hAnsi="Nunito Sans"/>
          <w:b/>
          <w:bCs/>
          <w:color w:val="A8BC4C"/>
          <w:sz w:val="18"/>
          <w:szCs w:val="18"/>
        </w:rPr>
      </w:pPr>
      <w:r w:rsidRPr="00913697">
        <w:rPr>
          <w:rFonts w:ascii="Nunito Sans" w:hAnsi="Nunito Sans"/>
          <w:b/>
          <w:bCs/>
          <w:color w:val="A8BC4C"/>
          <w:sz w:val="18"/>
          <w:szCs w:val="18"/>
        </w:rPr>
        <w:t xml:space="preserve">MODULE 7: SUBSEQUENT MEASUREMENT </w:t>
      </w:r>
    </w:p>
    <w:p w14:paraId="3F7BC9FF" w14:textId="77777777" w:rsidR="00EA21BA" w:rsidRDefault="00EA21BA" w:rsidP="00EA21BA">
      <w:pPr>
        <w:pStyle w:val="PlainText"/>
        <w:rPr>
          <w:rFonts w:ascii="Nunito Sans" w:hAnsi="Nunito Sans"/>
          <w:sz w:val="18"/>
          <w:szCs w:val="18"/>
        </w:rPr>
      </w:pPr>
    </w:p>
    <w:p w14:paraId="0B011C26" w14:textId="77777777" w:rsidR="00EA21BA" w:rsidRPr="00913697" w:rsidRDefault="00EA21BA" w:rsidP="00EA21BA">
      <w:pPr>
        <w:pStyle w:val="PlainText"/>
        <w:spacing w:line="360" w:lineRule="auto"/>
        <w:ind w:left="142"/>
        <w:rPr>
          <w:rFonts w:ascii="Nunito Sans" w:hAnsi="Nunito Sans"/>
          <w:color w:val="A8BC4C"/>
          <w:sz w:val="18"/>
          <w:szCs w:val="18"/>
        </w:rPr>
      </w:pPr>
      <w:r w:rsidRPr="00913F89">
        <w:rPr>
          <w:rFonts w:ascii="Nunito Sans" w:hAnsi="Nunito Sans"/>
          <w:b/>
          <w:bCs/>
          <w:color w:val="A8BC4C"/>
          <w:sz w:val="18"/>
          <w:szCs w:val="18"/>
        </w:rPr>
        <w:t>Introduction</w:t>
      </w:r>
    </w:p>
    <w:p w14:paraId="44A18F7B" w14:textId="77777777" w:rsidR="00EA21BA" w:rsidRDefault="00EA21BA" w:rsidP="00EA21BA">
      <w:pPr>
        <w:pStyle w:val="PlainText"/>
        <w:spacing w:before="240" w:line="360" w:lineRule="auto"/>
        <w:ind w:left="142"/>
        <w:rPr>
          <w:rFonts w:ascii="Nunito Sans" w:hAnsi="Nunito Sans"/>
          <w:b/>
          <w:bCs/>
          <w:sz w:val="18"/>
          <w:szCs w:val="18"/>
        </w:rPr>
      </w:pPr>
      <w:r w:rsidRPr="008745E0">
        <w:rPr>
          <w:rFonts w:ascii="Nunito Sans" w:hAnsi="Nunito Sans"/>
          <w:sz w:val="18"/>
          <w:szCs w:val="18"/>
        </w:rPr>
        <w:t xml:space="preserve">This module provides an in-depth </w:t>
      </w:r>
      <w:r>
        <w:rPr>
          <w:rFonts w:ascii="Nunito Sans" w:hAnsi="Nunito Sans"/>
          <w:sz w:val="18"/>
          <w:szCs w:val="18"/>
        </w:rPr>
        <w:t xml:space="preserve">overview of the subsequent measurement requirements for insurance contracts under </w:t>
      </w:r>
      <w:r w:rsidRPr="008745E0">
        <w:rPr>
          <w:rFonts w:ascii="Nunito Sans" w:hAnsi="Nunito Sans"/>
          <w:b/>
          <w:bCs/>
          <w:sz w:val="18"/>
          <w:szCs w:val="18"/>
        </w:rPr>
        <w:t>IFRS 17</w:t>
      </w:r>
      <w:r>
        <w:rPr>
          <w:rFonts w:ascii="Nunito Sans" w:hAnsi="Nunito Sans"/>
          <w:b/>
          <w:bCs/>
          <w:sz w:val="18"/>
          <w:szCs w:val="18"/>
        </w:rPr>
        <w:t>.</w:t>
      </w:r>
    </w:p>
    <w:p w14:paraId="050A4BF0" w14:textId="77777777" w:rsidR="00EA21BA" w:rsidRPr="00913697" w:rsidRDefault="00EA21BA" w:rsidP="00EA21BA">
      <w:pPr>
        <w:pStyle w:val="PlainText"/>
        <w:spacing w:before="240" w:line="360" w:lineRule="auto"/>
        <w:ind w:left="142"/>
        <w:rPr>
          <w:rFonts w:ascii="Nunito Sans" w:hAnsi="Nunito Sans"/>
          <w:color w:val="A8BC4C"/>
          <w:sz w:val="18"/>
          <w:szCs w:val="18"/>
        </w:rPr>
      </w:pPr>
      <w:r w:rsidRPr="00913697">
        <w:rPr>
          <w:rFonts w:ascii="Nunito Sans" w:hAnsi="Nunito Sans"/>
          <w:b/>
          <w:bCs/>
          <w:color w:val="A8BC4C"/>
          <w:sz w:val="18"/>
          <w:szCs w:val="18"/>
        </w:rPr>
        <w:t>Overview of Subsequent Measurement</w:t>
      </w:r>
    </w:p>
    <w:p w14:paraId="770FD907" w14:textId="77777777" w:rsidR="00EA21BA" w:rsidRDefault="00EA21BA" w:rsidP="00EA21BA">
      <w:pPr>
        <w:pStyle w:val="PlainText"/>
        <w:spacing w:before="240" w:line="360" w:lineRule="auto"/>
        <w:ind w:left="142"/>
        <w:rPr>
          <w:rFonts w:ascii="Nunito Sans" w:hAnsi="Nunito Sans"/>
          <w:sz w:val="18"/>
          <w:szCs w:val="18"/>
        </w:rPr>
      </w:pPr>
      <w:r w:rsidRPr="00A77A3F">
        <w:rPr>
          <w:rFonts w:ascii="Nunito Sans" w:hAnsi="Nunito Sans"/>
          <w:sz w:val="18"/>
          <w:szCs w:val="18"/>
        </w:rPr>
        <w:t>After initial recognition, insurance contract liabilities must be updated to reflect:</w:t>
      </w:r>
    </w:p>
    <w:p w14:paraId="3605CD24" w14:textId="77777777" w:rsidR="00EA21BA" w:rsidRDefault="00EA21BA" w:rsidP="00EA21BA">
      <w:pPr>
        <w:pStyle w:val="PlainText"/>
        <w:numPr>
          <w:ilvl w:val="0"/>
          <w:numId w:val="27"/>
        </w:numPr>
        <w:spacing w:before="240" w:line="360" w:lineRule="auto"/>
        <w:ind w:left="142" w:firstLine="0"/>
        <w:rPr>
          <w:rFonts w:ascii="Nunito Sans" w:hAnsi="Nunito Sans"/>
          <w:sz w:val="18"/>
          <w:szCs w:val="18"/>
        </w:rPr>
      </w:pPr>
      <w:r w:rsidRPr="00A77A3F">
        <w:rPr>
          <w:rFonts w:ascii="Nunito Sans" w:hAnsi="Nunito Sans"/>
          <w:sz w:val="18"/>
          <w:szCs w:val="18"/>
        </w:rPr>
        <w:t xml:space="preserve">Changes in estimates of future cash </w:t>
      </w:r>
      <w:proofErr w:type="gramStart"/>
      <w:r w:rsidRPr="00A77A3F">
        <w:rPr>
          <w:rFonts w:ascii="Nunito Sans" w:hAnsi="Nunito Sans"/>
          <w:sz w:val="18"/>
          <w:szCs w:val="18"/>
        </w:rPr>
        <w:t>flows</w:t>
      </w:r>
      <w:r>
        <w:rPr>
          <w:rFonts w:ascii="Nunito Sans" w:hAnsi="Nunito Sans"/>
          <w:sz w:val="18"/>
          <w:szCs w:val="18"/>
        </w:rPr>
        <w:t>;</w:t>
      </w:r>
      <w:proofErr w:type="gramEnd"/>
    </w:p>
    <w:p w14:paraId="179BB1A0" w14:textId="77777777" w:rsidR="00EA21BA" w:rsidRDefault="00EA21BA" w:rsidP="00EA21BA">
      <w:pPr>
        <w:pStyle w:val="PlainText"/>
        <w:numPr>
          <w:ilvl w:val="0"/>
          <w:numId w:val="27"/>
        </w:numPr>
        <w:spacing w:before="240" w:line="360" w:lineRule="auto"/>
        <w:ind w:left="142" w:firstLine="0"/>
        <w:rPr>
          <w:rFonts w:ascii="Nunito Sans" w:hAnsi="Nunito Sans"/>
          <w:sz w:val="18"/>
          <w:szCs w:val="18"/>
        </w:rPr>
      </w:pPr>
      <w:r w:rsidRPr="008B0DCE">
        <w:rPr>
          <w:rFonts w:ascii="Nunito Sans" w:hAnsi="Nunito Sans"/>
          <w:sz w:val="18"/>
          <w:szCs w:val="18"/>
        </w:rPr>
        <w:t>Release of CSM based on coverage units</w:t>
      </w:r>
    </w:p>
    <w:p w14:paraId="4AFA0EE8" w14:textId="77777777" w:rsidR="00EA21BA" w:rsidRDefault="00EA21BA" w:rsidP="00EA21BA">
      <w:pPr>
        <w:pStyle w:val="PlainText"/>
        <w:numPr>
          <w:ilvl w:val="0"/>
          <w:numId w:val="27"/>
        </w:numPr>
        <w:spacing w:before="240" w:line="360" w:lineRule="auto"/>
        <w:ind w:left="142" w:firstLine="0"/>
        <w:rPr>
          <w:rFonts w:ascii="Nunito Sans" w:hAnsi="Nunito Sans"/>
          <w:sz w:val="18"/>
          <w:szCs w:val="18"/>
        </w:rPr>
      </w:pPr>
      <w:r w:rsidRPr="00C66F6A">
        <w:rPr>
          <w:rFonts w:ascii="Nunito Sans" w:hAnsi="Nunito Sans"/>
          <w:sz w:val="18"/>
          <w:szCs w:val="18"/>
        </w:rPr>
        <w:t xml:space="preserve">Changes in discount </w:t>
      </w:r>
      <w:proofErr w:type="gramStart"/>
      <w:r w:rsidRPr="00C66F6A">
        <w:rPr>
          <w:rFonts w:ascii="Nunito Sans" w:hAnsi="Nunito Sans"/>
          <w:sz w:val="18"/>
          <w:szCs w:val="18"/>
        </w:rPr>
        <w:t>rates</w:t>
      </w:r>
      <w:r>
        <w:rPr>
          <w:rFonts w:ascii="Nunito Sans" w:hAnsi="Nunito Sans"/>
          <w:sz w:val="18"/>
          <w:szCs w:val="18"/>
        </w:rPr>
        <w:t>;</w:t>
      </w:r>
      <w:proofErr w:type="gramEnd"/>
      <w:r>
        <w:rPr>
          <w:rFonts w:ascii="Nunito Sans" w:hAnsi="Nunito Sans"/>
          <w:sz w:val="18"/>
          <w:szCs w:val="18"/>
        </w:rPr>
        <w:t xml:space="preserve"> </w:t>
      </w:r>
    </w:p>
    <w:p w14:paraId="761AB491" w14:textId="77777777" w:rsidR="00EA21BA" w:rsidRDefault="00EA21BA" w:rsidP="00EA21BA">
      <w:pPr>
        <w:pStyle w:val="PlainText"/>
        <w:numPr>
          <w:ilvl w:val="0"/>
          <w:numId w:val="27"/>
        </w:numPr>
        <w:spacing w:before="240" w:line="360" w:lineRule="auto"/>
        <w:ind w:left="142" w:firstLine="0"/>
        <w:rPr>
          <w:rFonts w:ascii="Nunito Sans" w:hAnsi="Nunito Sans"/>
          <w:sz w:val="18"/>
          <w:szCs w:val="18"/>
        </w:rPr>
      </w:pPr>
      <w:r w:rsidRPr="00D01FA0">
        <w:rPr>
          <w:rFonts w:ascii="Nunito Sans" w:hAnsi="Nunito Sans"/>
          <w:sz w:val="18"/>
          <w:szCs w:val="18"/>
        </w:rPr>
        <w:t>Claims incurred and paid</w:t>
      </w:r>
      <w:r>
        <w:rPr>
          <w:rFonts w:ascii="Nunito Sans" w:hAnsi="Nunito Sans"/>
          <w:sz w:val="18"/>
          <w:szCs w:val="18"/>
        </w:rPr>
        <w:t>.</w:t>
      </w:r>
    </w:p>
    <w:p w14:paraId="798E1A28" w14:textId="77777777" w:rsidR="00EA21BA" w:rsidRDefault="00EA21BA" w:rsidP="00EA21BA">
      <w:pPr>
        <w:pStyle w:val="PlainText"/>
        <w:numPr>
          <w:ilvl w:val="0"/>
          <w:numId w:val="27"/>
        </w:numPr>
        <w:spacing w:before="240" w:line="360" w:lineRule="auto"/>
        <w:ind w:left="142" w:firstLine="0"/>
        <w:rPr>
          <w:rFonts w:ascii="Nunito Sans" w:hAnsi="Nunito Sans"/>
          <w:sz w:val="18"/>
          <w:szCs w:val="18"/>
        </w:rPr>
      </w:pPr>
      <w:r w:rsidRPr="007665FD">
        <w:rPr>
          <w:rFonts w:ascii="Nunito Sans" w:hAnsi="Nunito Sans"/>
          <w:sz w:val="18"/>
          <w:szCs w:val="18"/>
        </w:rPr>
        <w:t>Experience adjustments and risk changes</w:t>
      </w:r>
    </w:p>
    <w:p w14:paraId="5B8E578E" w14:textId="77777777" w:rsidR="00EA21BA" w:rsidRDefault="00EA21BA" w:rsidP="00EA21BA">
      <w:pPr>
        <w:pStyle w:val="PlainText"/>
        <w:numPr>
          <w:ilvl w:val="0"/>
          <w:numId w:val="27"/>
        </w:numPr>
        <w:spacing w:before="240" w:line="360" w:lineRule="auto"/>
        <w:ind w:left="142" w:firstLine="0"/>
        <w:rPr>
          <w:rFonts w:ascii="Nunito Sans" w:hAnsi="Nunito Sans"/>
          <w:sz w:val="18"/>
          <w:szCs w:val="18"/>
        </w:rPr>
      </w:pPr>
      <w:r>
        <w:rPr>
          <w:rFonts w:ascii="Nunito Sans" w:hAnsi="Nunito Sans"/>
          <w:sz w:val="18"/>
          <w:szCs w:val="18"/>
        </w:rPr>
        <w:t>Amortization of insurance acquisition cash flows</w:t>
      </w:r>
    </w:p>
    <w:p w14:paraId="7EC1D97E" w14:textId="77777777" w:rsidR="00EA21BA" w:rsidRPr="00913697" w:rsidRDefault="00EA21BA" w:rsidP="00EA21BA">
      <w:pPr>
        <w:pStyle w:val="PlainText"/>
        <w:spacing w:line="360" w:lineRule="auto"/>
        <w:ind w:left="142"/>
        <w:rPr>
          <w:rFonts w:ascii="Nunito Sans" w:hAnsi="Nunito Sans"/>
          <w:b/>
          <w:bCs/>
          <w:color w:val="A8BC4C"/>
          <w:sz w:val="18"/>
          <w:szCs w:val="18"/>
        </w:rPr>
      </w:pPr>
      <w:r w:rsidRPr="00913697">
        <w:rPr>
          <w:rFonts w:ascii="Nunito Sans" w:hAnsi="Nunito Sans"/>
          <w:b/>
          <w:bCs/>
          <w:color w:val="A8BC4C"/>
          <w:sz w:val="18"/>
          <w:szCs w:val="18"/>
        </w:rPr>
        <w:t>Liability for Remaining Coverage (LRC)</w:t>
      </w:r>
    </w:p>
    <w:p w14:paraId="6DC1C117" w14:textId="77777777" w:rsidR="00EA21BA" w:rsidRDefault="00EA21BA" w:rsidP="00EA21BA">
      <w:pPr>
        <w:pStyle w:val="PlainText"/>
        <w:spacing w:before="240" w:line="360" w:lineRule="auto"/>
        <w:ind w:left="142"/>
        <w:rPr>
          <w:rFonts w:ascii="Nunito Sans" w:hAnsi="Nunito Sans"/>
          <w:sz w:val="18"/>
          <w:szCs w:val="18"/>
        </w:rPr>
      </w:pPr>
      <w:r w:rsidRPr="00840AC5">
        <w:rPr>
          <w:rFonts w:ascii="Nunito Sans" w:hAnsi="Nunito Sans"/>
          <w:sz w:val="18"/>
          <w:szCs w:val="18"/>
        </w:rPr>
        <w:t>The LRC reflects the insurer’s obligation to provide coverage in the future. At each reporting date, it is updated for:</w:t>
      </w:r>
    </w:p>
    <w:p w14:paraId="3D19752F" w14:textId="77777777" w:rsidR="00EA21BA" w:rsidRDefault="00EA21BA" w:rsidP="00EA21BA">
      <w:pPr>
        <w:pStyle w:val="PlainText"/>
        <w:numPr>
          <w:ilvl w:val="0"/>
          <w:numId w:val="33"/>
        </w:numPr>
        <w:spacing w:before="240" w:line="360" w:lineRule="auto"/>
        <w:ind w:left="142" w:firstLine="0"/>
        <w:rPr>
          <w:rFonts w:ascii="Nunito Sans" w:hAnsi="Nunito Sans"/>
          <w:sz w:val="18"/>
          <w:szCs w:val="18"/>
        </w:rPr>
      </w:pPr>
      <w:r w:rsidRPr="00091AF7">
        <w:rPr>
          <w:rFonts w:ascii="Nunito Sans" w:hAnsi="Nunito Sans"/>
          <w:b/>
          <w:bCs/>
          <w:sz w:val="18"/>
          <w:szCs w:val="18"/>
        </w:rPr>
        <w:t>Premiums received</w:t>
      </w:r>
    </w:p>
    <w:p w14:paraId="14B16039" w14:textId="77777777" w:rsidR="00EA21BA" w:rsidRDefault="00EA21BA" w:rsidP="00EA21BA">
      <w:pPr>
        <w:pStyle w:val="PlainText"/>
        <w:numPr>
          <w:ilvl w:val="0"/>
          <w:numId w:val="33"/>
        </w:numPr>
        <w:spacing w:before="240" w:line="360" w:lineRule="auto"/>
        <w:ind w:left="142" w:firstLine="0"/>
        <w:rPr>
          <w:rFonts w:ascii="Nunito Sans" w:hAnsi="Nunito Sans"/>
          <w:sz w:val="18"/>
          <w:szCs w:val="18"/>
        </w:rPr>
      </w:pPr>
      <w:r w:rsidRPr="00372FDE">
        <w:rPr>
          <w:rFonts w:ascii="Nunito Sans" w:hAnsi="Nunito Sans"/>
          <w:b/>
          <w:bCs/>
          <w:sz w:val="18"/>
          <w:szCs w:val="18"/>
        </w:rPr>
        <w:t xml:space="preserve">Release of CSM </w:t>
      </w:r>
      <w:r w:rsidRPr="00372FDE">
        <w:rPr>
          <w:rFonts w:ascii="Nunito Sans" w:hAnsi="Nunito Sans"/>
          <w:sz w:val="18"/>
          <w:szCs w:val="18"/>
        </w:rPr>
        <w:t>as services are rendered</w:t>
      </w:r>
    </w:p>
    <w:p w14:paraId="73C51D81" w14:textId="77777777" w:rsidR="00EA21BA" w:rsidRDefault="00EA21BA" w:rsidP="00EA21BA">
      <w:pPr>
        <w:pStyle w:val="PlainText"/>
        <w:numPr>
          <w:ilvl w:val="0"/>
          <w:numId w:val="33"/>
        </w:numPr>
        <w:spacing w:before="240" w:line="360" w:lineRule="auto"/>
        <w:ind w:left="142" w:firstLine="0"/>
        <w:rPr>
          <w:rFonts w:ascii="Nunito Sans" w:hAnsi="Nunito Sans"/>
          <w:sz w:val="18"/>
          <w:szCs w:val="18"/>
        </w:rPr>
      </w:pPr>
      <w:r w:rsidRPr="00564F36">
        <w:rPr>
          <w:rFonts w:ascii="Nunito Sans" w:hAnsi="Nunito Sans"/>
          <w:b/>
          <w:bCs/>
          <w:sz w:val="18"/>
          <w:szCs w:val="18"/>
        </w:rPr>
        <w:t xml:space="preserve">Changes in fulfilment cash flows </w:t>
      </w:r>
      <w:r w:rsidRPr="00564F36">
        <w:rPr>
          <w:rFonts w:ascii="Nunito Sans" w:hAnsi="Nunito Sans"/>
          <w:sz w:val="18"/>
          <w:szCs w:val="18"/>
        </w:rPr>
        <w:t>relating to future service</w:t>
      </w:r>
    </w:p>
    <w:p w14:paraId="6C09E3E8" w14:textId="77777777" w:rsidR="00EA21BA" w:rsidRDefault="00EA21BA" w:rsidP="00EA21BA">
      <w:pPr>
        <w:pStyle w:val="PlainText"/>
        <w:numPr>
          <w:ilvl w:val="0"/>
          <w:numId w:val="33"/>
        </w:numPr>
        <w:spacing w:before="240" w:line="360" w:lineRule="auto"/>
        <w:ind w:left="142" w:firstLine="0"/>
        <w:rPr>
          <w:rFonts w:ascii="Nunito Sans" w:hAnsi="Nunito Sans"/>
          <w:b/>
          <w:bCs/>
          <w:sz w:val="18"/>
          <w:szCs w:val="18"/>
        </w:rPr>
      </w:pPr>
      <w:r w:rsidRPr="009C2E96">
        <w:rPr>
          <w:rFonts w:ascii="Nunito Sans" w:hAnsi="Nunito Sans"/>
          <w:b/>
          <w:bCs/>
          <w:sz w:val="18"/>
          <w:szCs w:val="18"/>
        </w:rPr>
        <w:t>Adjustments to risk adjustment</w:t>
      </w:r>
    </w:p>
    <w:p w14:paraId="527939D6" w14:textId="77777777" w:rsidR="00EA21BA" w:rsidRPr="00C71BE1" w:rsidRDefault="00EA21BA" w:rsidP="00EA21BA">
      <w:pPr>
        <w:pStyle w:val="PlainText"/>
        <w:spacing w:before="240" w:line="360" w:lineRule="auto"/>
        <w:ind w:left="142"/>
        <w:rPr>
          <w:rFonts w:ascii="Nunito Sans" w:hAnsi="Nunito Sans"/>
          <w:b/>
          <w:bCs/>
          <w:i/>
          <w:iCs/>
          <w:color w:val="0137A6"/>
          <w:sz w:val="18"/>
          <w:szCs w:val="18"/>
        </w:rPr>
      </w:pPr>
      <w:r w:rsidRPr="00C71BE1">
        <w:rPr>
          <w:rFonts w:ascii="Nunito Sans" w:hAnsi="Nunito Sans"/>
          <w:b/>
          <w:bCs/>
          <w:sz w:val="18"/>
          <w:szCs w:val="18"/>
        </w:rPr>
        <w:t>Note</w:t>
      </w:r>
      <w:r w:rsidRPr="00C71BE1">
        <w:rPr>
          <w:rFonts w:ascii="Nunito Sans" w:hAnsi="Nunito Sans"/>
          <w:b/>
          <w:bCs/>
          <w:i/>
          <w:iCs/>
          <w:sz w:val="18"/>
          <w:szCs w:val="18"/>
        </w:rPr>
        <w:t xml:space="preserve">: </w:t>
      </w:r>
      <w:r w:rsidRPr="00913697">
        <w:rPr>
          <w:rFonts w:ascii="Nunito Sans" w:hAnsi="Nunito Sans"/>
          <w:b/>
          <w:bCs/>
          <w:i/>
          <w:iCs/>
          <w:color w:val="A8BC4C"/>
          <w:sz w:val="18"/>
          <w:szCs w:val="18"/>
        </w:rPr>
        <w:t>The CSM is adjusted only for changes that relate to future service.</w:t>
      </w:r>
    </w:p>
    <w:p w14:paraId="0FAC98A4" w14:textId="77777777" w:rsidR="00EA21BA" w:rsidRDefault="00EA21BA" w:rsidP="00EA21BA">
      <w:pPr>
        <w:pStyle w:val="PlainText"/>
        <w:spacing w:before="240" w:line="360" w:lineRule="auto"/>
        <w:ind w:left="142"/>
        <w:rPr>
          <w:rFonts w:ascii="Nunito Sans" w:hAnsi="Nunito Sans"/>
          <w:sz w:val="18"/>
          <w:szCs w:val="18"/>
        </w:rPr>
      </w:pPr>
      <w:r w:rsidRPr="00585632">
        <w:rPr>
          <w:rFonts w:ascii="Nunito Sans" w:hAnsi="Nunito Sans"/>
          <w:sz w:val="18"/>
          <w:szCs w:val="18"/>
        </w:rPr>
        <w:t xml:space="preserve">For contracts with boundaries extending beyond twelve (12) months, the LRC will be </w:t>
      </w:r>
      <w:r>
        <w:rPr>
          <w:rFonts w:ascii="Nunito Sans" w:hAnsi="Nunito Sans"/>
          <w:sz w:val="18"/>
          <w:szCs w:val="18"/>
        </w:rPr>
        <w:t>adjusted as follows</w:t>
      </w:r>
      <w:r w:rsidRPr="00585632">
        <w:rPr>
          <w:rFonts w:ascii="Nunito Sans" w:hAnsi="Nunito Sans"/>
          <w:sz w:val="18"/>
          <w:szCs w:val="18"/>
        </w:rPr>
        <w:t>:</w:t>
      </w:r>
    </w:p>
    <w:p w14:paraId="6B689382" w14:textId="77777777" w:rsidR="00EA21BA" w:rsidRPr="00F92CBB" w:rsidRDefault="00EA21BA" w:rsidP="00EA21BA">
      <w:pPr>
        <w:pStyle w:val="PlainText"/>
        <w:numPr>
          <w:ilvl w:val="0"/>
          <w:numId w:val="34"/>
        </w:numPr>
        <w:spacing w:before="240" w:line="360" w:lineRule="auto"/>
        <w:ind w:left="142" w:firstLine="0"/>
        <w:rPr>
          <w:rFonts w:ascii="Nunito Sans" w:hAnsi="Nunito Sans"/>
          <w:sz w:val="18"/>
          <w:szCs w:val="18"/>
        </w:rPr>
      </w:pPr>
      <w:r w:rsidRPr="00F92CBB">
        <w:rPr>
          <w:rFonts w:ascii="Nunito Sans" w:hAnsi="Nunito Sans"/>
          <w:sz w:val="18"/>
          <w:szCs w:val="18"/>
        </w:rPr>
        <w:t xml:space="preserve">Opening LRC balance: Starting point for the period. </w:t>
      </w:r>
    </w:p>
    <w:p w14:paraId="25EFCA74" w14:textId="77777777" w:rsidR="00EA21BA" w:rsidRPr="00F92CBB" w:rsidRDefault="00EA21BA" w:rsidP="00EA21BA">
      <w:pPr>
        <w:pStyle w:val="PlainText"/>
        <w:numPr>
          <w:ilvl w:val="0"/>
          <w:numId w:val="34"/>
        </w:numPr>
        <w:spacing w:before="240" w:line="360" w:lineRule="auto"/>
        <w:ind w:left="142" w:firstLine="0"/>
        <w:rPr>
          <w:rFonts w:ascii="Nunito Sans" w:hAnsi="Nunito Sans"/>
          <w:sz w:val="18"/>
          <w:szCs w:val="18"/>
        </w:rPr>
      </w:pPr>
      <w:r w:rsidRPr="00F92CBB">
        <w:rPr>
          <w:rFonts w:ascii="Nunito Sans" w:hAnsi="Nunito Sans"/>
          <w:sz w:val="18"/>
          <w:szCs w:val="18"/>
        </w:rPr>
        <w:t xml:space="preserve">Changes due to claims and expenses </w:t>
      </w:r>
    </w:p>
    <w:p w14:paraId="7B369117" w14:textId="77777777" w:rsidR="00EA21BA" w:rsidRPr="00F92CBB" w:rsidRDefault="00EA21BA" w:rsidP="00EA21BA">
      <w:pPr>
        <w:pStyle w:val="PlainText"/>
        <w:numPr>
          <w:ilvl w:val="0"/>
          <w:numId w:val="34"/>
        </w:numPr>
        <w:spacing w:before="240" w:line="360" w:lineRule="auto"/>
        <w:ind w:left="142" w:firstLine="0"/>
        <w:rPr>
          <w:rFonts w:ascii="Nunito Sans" w:hAnsi="Nunito Sans"/>
          <w:sz w:val="18"/>
          <w:szCs w:val="18"/>
        </w:rPr>
      </w:pPr>
      <w:r w:rsidRPr="00F92CBB">
        <w:rPr>
          <w:rFonts w:ascii="Nunito Sans" w:hAnsi="Nunito Sans"/>
          <w:sz w:val="18"/>
          <w:szCs w:val="18"/>
        </w:rPr>
        <w:lastRenderedPageBreak/>
        <w:t xml:space="preserve">Time value of money and financial risks: </w:t>
      </w:r>
    </w:p>
    <w:p w14:paraId="77690E19" w14:textId="77777777" w:rsidR="00EA21BA" w:rsidRPr="00F92CBB" w:rsidRDefault="00EA21BA" w:rsidP="00EA21BA">
      <w:pPr>
        <w:pStyle w:val="PlainText"/>
        <w:numPr>
          <w:ilvl w:val="0"/>
          <w:numId w:val="34"/>
        </w:numPr>
        <w:spacing w:before="240" w:line="360" w:lineRule="auto"/>
        <w:ind w:left="142" w:firstLine="0"/>
        <w:rPr>
          <w:rFonts w:ascii="Nunito Sans" w:hAnsi="Nunito Sans"/>
          <w:sz w:val="18"/>
          <w:szCs w:val="18"/>
        </w:rPr>
      </w:pPr>
      <w:r w:rsidRPr="00F92CBB">
        <w:rPr>
          <w:rFonts w:ascii="Nunito Sans" w:hAnsi="Nunito Sans"/>
          <w:sz w:val="18"/>
          <w:szCs w:val="18"/>
        </w:rPr>
        <w:t xml:space="preserve">Risk Margin for non-financial risk </w:t>
      </w:r>
    </w:p>
    <w:p w14:paraId="144EC0E8" w14:textId="77777777" w:rsidR="00EA21BA" w:rsidRPr="00F92CBB" w:rsidRDefault="00EA21BA" w:rsidP="00EA21BA">
      <w:pPr>
        <w:pStyle w:val="PlainText"/>
        <w:numPr>
          <w:ilvl w:val="0"/>
          <w:numId w:val="34"/>
        </w:numPr>
        <w:spacing w:before="240" w:line="360" w:lineRule="auto"/>
        <w:ind w:left="142" w:firstLine="0"/>
        <w:rPr>
          <w:rFonts w:ascii="Nunito Sans" w:hAnsi="Nunito Sans"/>
          <w:sz w:val="18"/>
          <w:szCs w:val="18"/>
        </w:rPr>
      </w:pPr>
      <w:r w:rsidRPr="00F92CBB">
        <w:rPr>
          <w:rFonts w:ascii="Nunito Sans" w:hAnsi="Nunito Sans"/>
          <w:sz w:val="18"/>
          <w:szCs w:val="18"/>
        </w:rPr>
        <w:t>Contractual Service Margin (CSM</w:t>
      </w:r>
      <w:r>
        <w:rPr>
          <w:rFonts w:ascii="Nunito Sans" w:hAnsi="Nunito Sans"/>
          <w:sz w:val="18"/>
          <w:szCs w:val="18"/>
        </w:rPr>
        <w:t>)</w:t>
      </w:r>
      <w:r w:rsidRPr="00F92CBB">
        <w:rPr>
          <w:rFonts w:ascii="Nunito Sans" w:hAnsi="Nunito Sans"/>
          <w:sz w:val="18"/>
          <w:szCs w:val="18"/>
        </w:rPr>
        <w:t xml:space="preserve"> </w:t>
      </w:r>
    </w:p>
    <w:p w14:paraId="2C4B4672" w14:textId="77777777" w:rsidR="00EA21BA" w:rsidRDefault="00EA21BA" w:rsidP="00EA21BA">
      <w:pPr>
        <w:pStyle w:val="PlainText"/>
        <w:numPr>
          <w:ilvl w:val="0"/>
          <w:numId w:val="34"/>
        </w:numPr>
        <w:spacing w:before="240" w:line="360" w:lineRule="auto"/>
        <w:ind w:left="142" w:firstLine="0"/>
        <w:rPr>
          <w:rFonts w:ascii="Nunito Sans" w:hAnsi="Nunito Sans"/>
          <w:sz w:val="18"/>
          <w:szCs w:val="18"/>
        </w:rPr>
      </w:pPr>
      <w:r w:rsidRPr="00065251">
        <w:rPr>
          <w:rFonts w:ascii="Nunito Sans" w:hAnsi="Nunito Sans"/>
          <w:sz w:val="18"/>
          <w:szCs w:val="18"/>
        </w:rPr>
        <w:t>Loss Component: Optional adjustments for losses in the loss component.</w:t>
      </w:r>
    </w:p>
    <w:p w14:paraId="5EDA45CD" w14:textId="77777777" w:rsidR="00EA21BA" w:rsidRDefault="00EA21BA" w:rsidP="00EA21BA">
      <w:pPr>
        <w:pStyle w:val="PlainText"/>
        <w:spacing w:before="240" w:line="360" w:lineRule="auto"/>
        <w:ind w:left="142"/>
        <w:rPr>
          <w:rFonts w:ascii="Nunito Sans" w:hAnsi="Nunito Sans"/>
          <w:sz w:val="18"/>
          <w:szCs w:val="18"/>
        </w:rPr>
      </w:pPr>
      <w:r w:rsidRPr="00585632">
        <w:rPr>
          <w:rFonts w:ascii="Nunito Sans" w:hAnsi="Nunito Sans"/>
          <w:sz w:val="18"/>
          <w:szCs w:val="18"/>
        </w:rPr>
        <w:t xml:space="preserve">For contracts with boundaries </w:t>
      </w:r>
      <w:r>
        <w:rPr>
          <w:rFonts w:ascii="Nunito Sans" w:hAnsi="Nunito Sans"/>
          <w:sz w:val="18"/>
          <w:szCs w:val="18"/>
        </w:rPr>
        <w:t>of</w:t>
      </w:r>
      <w:r w:rsidRPr="00585632">
        <w:rPr>
          <w:rFonts w:ascii="Nunito Sans" w:hAnsi="Nunito Sans"/>
          <w:sz w:val="18"/>
          <w:szCs w:val="18"/>
        </w:rPr>
        <w:t xml:space="preserve"> twelve (12) months</w:t>
      </w:r>
      <w:r>
        <w:rPr>
          <w:rFonts w:ascii="Nunito Sans" w:hAnsi="Nunito Sans"/>
          <w:sz w:val="18"/>
          <w:szCs w:val="18"/>
        </w:rPr>
        <w:t xml:space="preserve"> or less</w:t>
      </w:r>
      <w:r w:rsidRPr="00585632">
        <w:rPr>
          <w:rFonts w:ascii="Nunito Sans" w:hAnsi="Nunito Sans"/>
          <w:sz w:val="18"/>
          <w:szCs w:val="18"/>
        </w:rPr>
        <w:t xml:space="preserve">, the LRC will be </w:t>
      </w:r>
      <w:r>
        <w:rPr>
          <w:rFonts w:ascii="Nunito Sans" w:hAnsi="Nunito Sans"/>
          <w:sz w:val="18"/>
          <w:szCs w:val="18"/>
        </w:rPr>
        <w:t>adjusted as follows</w:t>
      </w:r>
      <w:r w:rsidRPr="00585632">
        <w:rPr>
          <w:rFonts w:ascii="Nunito Sans" w:hAnsi="Nunito Sans"/>
          <w:sz w:val="18"/>
          <w:szCs w:val="18"/>
        </w:rPr>
        <w:t>:</w:t>
      </w:r>
    </w:p>
    <w:p w14:paraId="76B4A0C3" w14:textId="77777777" w:rsidR="00EA21BA" w:rsidRPr="0010732B" w:rsidRDefault="00EA21BA" w:rsidP="00EA21BA">
      <w:pPr>
        <w:pStyle w:val="PlainText"/>
        <w:numPr>
          <w:ilvl w:val="0"/>
          <w:numId w:val="36"/>
        </w:numPr>
        <w:spacing w:before="240" w:line="360" w:lineRule="auto"/>
        <w:ind w:left="142" w:firstLine="0"/>
        <w:rPr>
          <w:rFonts w:ascii="Nunito Sans" w:hAnsi="Nunito Sans"/>
          <w:sz w:val="18"/>
          <w:szCs w:val="18"/>
        </w:rPr>
      </w:pPr>
      <w:r w:rsidRPr="0010732B">
        <w:rPr>
          <w:rFonts w:ascii="Nunito Sans" w:hAnsi="Nunito Sans"/>
          <w:sz w:val="18"/>
          <w:szCs w:val="18"/>
        </w:rPr>
        <w:t xml:space="preserve">Opening LRC balance </w:t>
      </w:r>
    </w:p>
    <w:p w14:paraId="0A884A23" w14:textId="77777777" w:rsidR="00EA21BA" w:rsidRPr="0010732B" w:rsidRDefault="00EA21BA" w:rsidP="00EA21BA">
      <w:pPr>
        <w:pStyle w:val="PlainText"/>
        <w:numPr>
          <w:ilvl w:val="0"/>
          <w:numId w:val="36"/>
        </w:numPr>
        <w:spacing w:before="240" w:line="360" w:lineRule="auto"/>
        <w:ind w:left="142" w:firstLine="0"/>
        <w:rPr>
          <w:rFonts w:ascii="Nunito Sans" w:hAnsi="Nunito Sans"/>
          <w:sz w:val="18"/>
          <w:szCs w:val="18"/>
        </w:rPr>
      </w:pPr>
      <w:r w:rsidRPr="0010732B">
        <w:rPr>
          <w:rFonts w:ascii="Nunito Sans" w:hAnsi="Nunito Sans"/>
          <w:sz w:val="18"/>
          <w:szCs w:val="18"/>
        </w:rPr>
        <w:t xml:space="preserve">Add: Premium Received </w:t>
      </w:r>
    </w:p>
    <w:p w14:paraId="2990C668" w14:textId="77777777" w:rsidR="00EA21BA" w:rsidRPr="0010732B" w:rsidRDefault="00EA21BA" w:rsidP="00EA21BA">
      <w:pPr>
        <w:pStyle w:val="PlainText"/>
        <w:numPr>
          <w:ilvl w:val="0"/>
          <w:numId w:val="36"/>
        </w:numPr>
        <w:spacing w:before="240" w:line="360" w:lineRule="auto"/>
        <w:ind w:left="142" w:firstLine="0"/>
        <w:rPr>
          <w:rFonts w:ascii="Nunito Sans" w:hAnsi="Nunito Sans"/>
          <w:sz w:val="18"/>
          <w:szCs w:val="18"/>
        </w:rPr>
      </w:pPr>
      <w:r w:rsidRPr="0010732B">
        <w:rPr>
          <w:rFonts w:ascii="Nunito Sans" w:hAnsi="Nunito Sans"/>
          <w:sz w:val="18"/>
          <w:szCs w:val="18"/>
        </w:rPr>
        <w:t>Less: Amortization of Insurance Time value of money and financial risks</w:t>
      </w:r>
      <w:r>
        <w:rPr>
          <w:rFonts w:ascii="Nunito Sans" w:hAnsi="Nunito Sans"/>
          <w:sz w:val="18"/>
          <w:szCs w:val="18"/>
        </w:rPr>
        <w:t>.</w:t>
      </w:r>
      <w:r w:rsidRPr="0010732B">
        <w:rPr>
          <w:rFonts w:ascii="Nunito Sans" w:hAnsi="Nunito Sans"/>
          <w:sz w:val="18"/>
          <w:szCs w:val="18"/>
        </w:rPr>
        <w:t xml:space="preserve"> </w:t>
      </w:r>
    </w:p>
    <w:p w14:paraId="32184545" w14:textId="77777777" w:rsidR="00EA21BA" w:rsidRDefault="00EA21BA" w:rsidP="00EA21BA">
      <w:pPr>
        <w:pStyle w:val="PlainText"/>
        <w:numPr>
          <w:ilvl w:val="0"/>
          <w:numId w:val="36"/>
        </w:numPr>
        <w:spacing w:before="240" w:line="360" w:lineRule="auto"/>
        <w:ind w:left="142" w:firstLine="0"/>
        <w:rPr>
          <w:rFonts w:ascii="Nunito Sans" w:hAnsi="Nunito Sans"/>
          <w:sz w:val="18"/>
          <w:szCs w:val="18"/>
        </w:rPr>
      </w:pPr>
      <w:r w:rsidRPr="0010732B">
        <w:rPr>
          <w:rFonts w:ascii="Nunito Sans" w:hAnsi="Nunito Sans"/>
          <w:sz w:val="18"/>
          <w:szCs w:val="18"/>
        </w:rPr>
        <w:t>Less: Insurance Revenue</w:t>
      </w:r>
    </w:p>
    <w:p w14:paraId="68263876" w14:textId="77777777" w:rsidR="00EA21BA" w:rsidRPr="00971BDD" w:rsidRDefault="00EA21BA" w:rsidP="00EA21BA">
      <w:pPr>
        <w:pStyle w:val="PlainText"/>
        <w:spacing w:before="240" w:line="360" w:lineRule="auto"/>
        <w:ind w:left="142"/>
        <w:rPr>
          <w:rFonts w:ascii="Nunito Sans" w:hAnsi="Nunito Sans"/>
          <w:b/>
          <w:bCs/>
          <w:color w:val="A8BC4C"/>
          <w:sz w:val="18"/>
          <w:szCs w:val="18"/>
        </w:rPr>
      </w:pPr>
      <w:r w:rsidRPr="00971BDD">
        <w:rPr>
          <w:rFonts w:ascii="Nunito Sans" w:hAnsi="Nunito Sans"/>
          <w:b/>
          <w:bCs/>
          <w:noProof/>
          <w:color w:val="A8BC4C"/>
          <w:sz w:val="18"/>
          <w:szCs w:val="18"/>
          <w:u w:val="single"/>
        </w:rPr>
        <w:drawing>
          <wp:anchor distT="0" distB="0" distL="114300" distR="114300" simplePos="0" relativeHeight="251658240" behindDoc="1" locked="0" layoutInCell="1" allowOverlap="1" wp14:anchorId="1DB6E25E" wp14:editId="74CBE950">
            <wp:simplePos x="0" y="0"/>
            <wp:positionH relativeFrom="column">
              <wp:posOffset>-654050</wp:posOffset>
            </wp:positionH>
            <wp:positionV relativeFrom="paragraph">
              <wp:posOffset>414655</wp:posOffset>
            </wp:positionV>
            <wp:extent cx="7271385" cy="1513840"/>
            <wp:effectExtent l="0" t="0" r="5715" b="0"/>
            <wp:wrapThrough wrapText="bothSides">
              <wp:wrapPolygon edited="0">
                <wp:start x="0" y="0"/>
                <wp:lineTo x="0" y="21201"/>
                <wp:lineTo x="21560" y="21201"/>
                <wp:lineTo x="21560" y="0"/>
                <wp:lineTo x="0" y="0"/>
              </wp:wrapPolygon>
            </wp:wrapThrough>
            <wp:docPr id="1295387025" name="Picture 1" descr="A group of green rectangular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9410" name="Picture 1" descr="A group of green rectangular box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71385" cy="1513840"/>
                    </a:xfrm>
                    <a:prstGeom prst="rect">
                      <a:avLst/>
                    </a:prstGeom>
                  </pic:spPr>
                </pic:pic>
              </a:graphicData>
            </a:graphic>
            <wp14:sizeRelH relativeFrom="margin">
              <wp14:pctWidth>0</wp14:pctWidth>
            </wp14:sizeRelH>
            <wp14:sizeRelV relativeFrom="margin">
              <wp14:pctHeight>0</wp14:pctHeight>
            </wp14:sizeRelV>
          </wp:anchor>
        </w:drawing>
      </w:r>
      <w:r w:rsidRPr="00971BDD">
        <w:rPr>
          <w:rFonts w:ascii="Nunito Sans" w:hAnsi="Nunito Sans"/>
          <w:b/>
          <w:bCs/>
          <w:color w:val="A8BC4C"/>
          <w:sz w:val="18"/>
          <w:szCs w:val="18"/>
        </w:rPr>
        <w:t>Subsequent measurement for LRC</w:t>
      </w:r>
    </w:p>
    <w:p w14:paraId="1D510340" w14:textId="77777777" w:rsidR="00EA21BA" w:rsidRPr="00DC0851" w:rsidRDefault="00EA21BA" w:rsidP="00EA21BA">
      <w:pPr>
        <w:pStyle w:val="PlainText"/>
        <w:spacing w:before="240" w:line="360" w:lineRule="auto"/>
        <w:ind w:left="142"/>
        <w:rPr>
          <w:rFonts w:ascii="Nunito Sans" w:hAnsi="Nunito Sans"/>
          <w:b/>
          <w:bCs/>
          <w:color w:val="A8BC4C"/>
          <w:sz w:val="18"/>
          <w:szCs w:val="18"/>
        </w:rPr>
      </w:pPr>
      <w:r w:rsidRPr="00DC0851">
        <w:rPr>
          <w:rFonts w:ascii="Nunito Sans" w:hAnsi="Nunito Sans"/>
          <w:b/>
          <w:bCs/>
          <w:color w:val="A8BC4C"/>
          <w:sz w:val="18"/>
          <w:szCs w:val="18"/>
        </w:rPr>
        <w:t>Liability for Incurred Claims (LIC)</w:t>
      </w:r>
    </w:p>
    <w:p w14:paraId="47F675CE" w14:textId="77777777" w:rsidR="00EA21BA" w:rsidRDefault="00EA21BA" w:rsidP="00EA21BA">
      <w:pPr>
        <w:pStyle w:val="PlainText"/>
        <w:spacing w:line="360" w:lineRule="auto"/>
        <w:ind w:left="142"/>
        <w:rPr>
          <w:rFonts w:ascii="Nunito Sans" w:hAnsi="Nunito Sans"/>
          <w:sz w:val="18"/>
          <w:szCs w:val="18"/>
        </w:rPr>
      </w:pPr>
      <w:r w:rsidRPr="008B6844">
        <w:rPr>
          <w:rFonts w:ascii="Nunito Sans" w:hAnsi="Nunito Sans"/>
          <w:sz w:val="18"/>
          <w:szCs w:val="18"/>
        </w:rPr>
        <w:t xml:space="preserve">The LIC represents the obligation to settle claims that have already been incurred but </w:t>
      </w:r>
      <w:proofErr w:type="gramStart"/>
      <w:r w:rsidRPr="008B6844">
        <w:rPr>
          <w:rFonts w:ascii="Nunito Sans" w:hAnsi="Nunito Sans"/>
          <w:sz w:val="18"/>
          <w:szCs w:val="18"/>
        </w:rPr>
        <w:t>not</w:t>
      </w:r>
      <w:proofErr w:type="gramEnd"/>
      <w:r w:rsidRPr="008B6844">
        <w:rPr>
          <w:rFonts w:ascii="Nunito Sans" w:hAnsi="Nunito Sans"/>
          <w:sz w:val="18"/>
          <w:szCs w:val="18"/>
        </w:rPr>
        <w:t xml:space="preserve"> paid. Updates to LIC include:</w:t>
      </w:r>
    </w:p>
    <w:p w14:paraId="55124B95" w14:textId="77777777" w:rsidR="00EA21BA" w:rsidRDefault="00EA21BA" w:rsidP="00EA21BA">
      <w:pPr>
        <w:pStyle w:val="PlainText"/>
        <w:numPr>
          <w:ilvl w:val="0"/>
          <w:numId w:val="35"/>
        </w:numPr>
        <w:spacing w:before="240" w:line="360" w:lineRule="auto"/>
        <w:ind w:left="142" w:firstLine="0"/>
        <w:rPr>
          <w:rFonts w:ascii="Nunito Sans" w:hAnsi="Nunito Sans"/>
          <w:sz w:val="18"/>
          <w:szCs w:val="18"/>
        </w:rPr>
      </w:pPr>
      <w:r w:rsidRPr="005557E3">
        <w:rPr>
          <w:rFonts w:ascii="Nunito Sans" w:hAnsi="Nunito Sans"/>
          <w:sz w:val="18"/>
          <w:szCs w:val="18"/>
        </w:rPr>
        <w:t xml:space="preserve">Recognition of </w:t>
      </w:r>
      <w:proofErr w:type="gramStart"/>
      <w:r w:rsidRPr="005557E3">
        <w:rPr>
          <w:rFonts w:ascii="Nunito Sans" w:hAnsi="Nunito Sans"/>
          <w:sz w:val="18"/>
          <w:szCs w:val="18"/>
        </w:rPr>
        <w:t>incurred claims</w:t>
      </w:r>
      <w:proofErr w:type="gramEnd"/>
    </w:p>
    <w:p w14:paraId="39EA749C" w14:textId="77777777" w:rsidR="00EA21BA" w:rsidRDefault="00EA21BA" w:rsidP="00EA21BA">
      <w:pPr>
        <w:pStyle w:val="PlainText"/>
        <w:numPr>
          <w:ilvl w:val="0"/>
          <w:numId w:val="35"/>
        </w:numPr>
        <w:spacing w:before="240" w:line="360" w:lineRule="auto"/>
        <w:ind w:left="142" w:firstLine="0"/>
        <w:rPr>
          <w:rFonts w:ascii="Nunito Sans" w:hAnsi="Nunito Sans"/>
          <w:sz w:val="18"/>
          <w:szCs w:val="18"/>
        </w:rPr>
      </w:pPr>
      <w:r w:rsidRPr="005557E3">
        <w:rPr>
          <w:rFonts w:ascii="Nunito Sans" w:hAnsi="Nunito Sans"/>
          <w:sz w:val="18"/>
          <w:szCs w:val="18"/>
        </w:rPr>
        <w:t>Changes in estimates for reported and unreported claims (e.g., IBNR</w:t>
      </w:r>
      <w:r>
        <w:rPr>
          <w:rFonts w:ascii="Nunito Sans" w:hAnsi="Nunito Sans"/>
          <w:sz w:val="18"/>
          <w:szCs w:val="18"/>
        </w:rPr>
        <w:t>, OCR</w:t>
      </w:r>
      <w:r w:rsidRPr="005557E3">
        <w:rPr>
          <w:rFonts w:ascii="Nunito Sans" w:hAnsi="Nunito Sans"/>
          <w:sz w:val="18"/>
          <w:szCs w:val="18"/>
        </w:rPr>
        <w:t>)</w:t>
      </w:r>
    </w:p>
    <w:p w14:paraId="72886A92" w14:textId="77777777" w:rsidR="00EA21BA" w:rsidRDefault="00EA21BA" w:rsidP="00EA21BA">
      <w:pPr>
        <w:pStyle w:val="PlainText"/>
        <w:numPr>
          <w:ilvl w:val="0"/>
          <w:numId w:val="35"/>
        </w:numPr>
        <w:spacing w:before="240" w:line="360" w:lineRule="auto"/>
        <w:ind w:left="142" w:firstLine="0"/>
        <w:rPr>
          <w:rFonts w:ascii="Nunito Sans" w:hAnsi="Nunito Sans"/>
          <w:sz w:val="18"/>
          <w:szCs w:val="18"/>
        </w:rPr>
      </w:pPr>
      <w:r w:rsidRPr="005557E3">
        <w:rPr>
          <w:rFonts w:ascii="Nunito Sans" w:hAnsi="Nunito Sans"/>
          <w:sz w:val="18"/>
          <w:szCs w:val="18"/>
        </w:rPr>
        <w:t>Application of discounting if payment is expected more than 12 months after the reporting date</w:t>
      </w:r>
    </w:p>
    <w:p w14:paraId="766D6470" w14:textId="77777777" w:rsidR="00EA21BA" w:rsidRDefault="00EA21BA" w:rsidP="00EA21BA">
      <w:pPr>
        <w:pStyle w:val="PlainText"/>
        <w:numPr>
          <w:ilvl w:val="0"/>
          <w:numId w:val="35"/>
        </w:numPr>
        <w:spacing w:before="240" w:line="360" w:lineRule="auto"/>
        <w:ind w:left="142" w:firstLine="0"/>
        <w:rPr>
          <w:rFonts w:ascii="Nunito Sans" w:hAnsi="Nunito Sans"/>
          <w:sz w:val="18"/>
          <w:szCs w:val="18"/>
        </w:rPr>
      </w:pPr>
      <w:r w:rsidRPr="00D95E4D">
        <w:rPr>
          <w:rFonts w:ascii="Nunito Sans" w:hAnsi="Nunito Sans"/>
          <w:sz w:val="18"/>
          <w:szCs w:val="18"/>
        </w:rPr>
        <w:t>Risk adjustment for non-financial risk</w:t>
      </w:r>
    </w:p>
    <w:p w14:paraId="5DB31133" w14:textId="77777777" w:rsidR="00EA21BA" w:rsidRDefault="00EA21BA" w:rsidP="00EA21BA">
      <w:pPr>
        <w:pStyle w:val="PlainText"/>
        <w:numPr>
          <w:ilvl w:val="0"/>
          <w:numId w:val="35"/>
        </w:numPr>
        <w:spacing w:before="240" w:line="360" w:lineRule="auto"/>
        <w:ind w:left="142" w:firstLine="0"/>
        <w:rPr>
          <w:rFonts w:ascii="Nunito Sans" w:hAnsi="Nunito Sans"/>
          <w:sz w:val="18"/>
          <w:szCs w:val="18"/>
        </w:rPr>
      </w:pPr>
      <w:r w:rsidRPr="00887202">
        <w:rPr>
          <w:rFonts w:ascii="Nunito Sans" w:hAnsi="Nunito Sans"/>
          <w:sz w:val="18"/>
          <w:szCs w:val="18"/>
        </w:rPr>
        <w:lastRenderedPageBreak/>
        <w:t>Unallocated Loss Adjustment Expenses (ULAE): These are internal costs (not directly linked to individual claims but expected to be incurred in settling claims. ULAE must be estimated, included in the fulfilment cash flows, and discounted if appropriate</w:t>
      </w:r>
      <w:r w:rsidRPr="00373BAE">
        <w:rPr>
          <w:rFonts w:ascii="Nunito Sans" w:hAnsi="Nunito Sans"/>
          <w:sz w:val="18"/>
          <w:szCs w:val="18"/>
        </w:rPr>
        <w:t>.</w:t>
      </w:r>
    </w:p>
    <w:p w14:paraId="39A7BCC0" w14:textId="77777777" w:rsidR="00EA21BA" w:rsidRPr="006D7A28" w:rsidRDefault="00EA21BA" w:rsidP="0033355B">
      <w:pPr>
        <w:spacing w:before="240"/>
        <w:ind w:left="142"/>
        <w:rPr>
          <w:b/>
          <w:bCs/>
          <w:color w:val="A8BC4C"/>
          <w:szCs w:val="18"/>
        </w:rPr>
      </w:pPr>
      <w:r w:rsidRPr="006D7A28">
        <w:rPr>
          <w:b/>
          <w:bCs/>
          <w:noProof/>
          <w:color w:val="A8BC4C"/>
        </w:rPr>
        <w:drawing>
          <wp:anchor distT="0" distB="0" distL="114300" distR="114300" simplePos="0" relativeHeight="251658241" behindDoc="1" locked="0" layoutInCell="1" allowOverlap="1" wp14:anchorId="695A526D" wp14:editId="58DB88B7">
            <wp:simplePos x="0" y="0"/>
            <wp:positionH relativeFrom="column">
              <wp:posOffset>-763270</wp:posOffset>
            </wp:positionH>
            <wp:positionV relativeFrom="paragraph">
              <wp:posOffset>376011</wp:posOffset>
            </wp:positionV>
            <wp:extent cx="7472680" cy="1136650"/>
            <wp:effectExtent l="0" t="0" r="0" b="6350"/>
            <wp:wrapTight wrapText="bothSides">
              <wp:wrapPolygon edited="0">
                <wp:start x="0" y="0"/>
                <wp:lineTo x="0" y="21359"/>
                <wp:lineTo x="21530" y="21359"/>
                <wp:lineTo x="21530" y="0"/>
                <wp:lineTo x="0" y="0"/>
              </wp:wrapPolygon>
            </wp:wrapTight>
            <wp:docPr id="612932679" name="Picture 2" descr="A green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15838" name="Picture 1" descr="A green rectangular object with black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72680" cy="1136650"/>
                    </a:xfrm>
                    <a:prstGeom prst="rect">
                      <a:avLst/>
                    </a:prstGeom>
                  </pic:spPr>
                </pic:pic>
              </a:graphicData>
            </a:graphic>
            <wp14:sizeRelH relativeFrom="margin">
              <wp14:pctWidth>0</wp14:pctWidth>
            </wp14:sizeRelH>
            <wp14:sizeRelV relativeFrom="margin">
              <wp14:pctHeight>0</wp14:pctHeight>
            </wp14:sizeRelV>
          </wp:anchor>
        </w:drawing>
      </w:r>
      <w:r w:rsidRPr="006D7A28">
        <w:rPr>
          <w:b/>
          <w:bCs/>
          <w:color w:val="A8BC4C"/>
          <w:szCs w:val="18"/>
        </w:rPr>
        <w:t>Subsequent measurement for LIC</w:t>
      </w:r>
    </w:p>
    <w:p w14:paraId="7300E8D0" w14:textId="77777777" w:rsidR="00EA21BA" w:rsidRDefault="00EA21BA" w:rsidP="00EA21BA">
      <w:pPr>
        <w:ind w:left="142"/>
        <w:rPr>
          <w:szCs w:val="18"/>
        </w:rPr>
      </w:pPr>
    </w:p>
    <w:p w14:paraId="04F07651" w14:textId="77777777" w:rsidR="00EA21BA" w:rsidRPr="00805C83" w:rsidRDefault="00EA21BA" w:rsidP="0033355B">
      <w:pPr>
        <w:pStyle w:val="PlainText"/>
        <w:spacing w:line="360" w:lineRule="auto"/>
        <w:ind w:left="142"/>
        <w:rPr>
          <w:rFonts w:ascii="Nunito Sans" w:hAnsi="Nunito Sans"/>
          <w:b/>
          <w:bCs/>
          <w:color w:val="A8BC4C"/>
          <w:sz w:val="18"/>
          <w:szCs w:val="18"/>
        </w:rPr>
      </w:pPr>
      <w:r w:rsidRPr="00805C83">
        <w:rPr>
          <w:rFonts w:ascii="Nunito Sans" w:hAnsi="Nunito Sans"/>
          <w:b/>
          <w:bCs/>
          <w:color w:val="A8BC4C"/>
          <w:sz w:val="18"/>
          <w:szCs w:val="18"/>
        </w:rPr>
        <w:t>Adjusting the Contractual Service Margin (CSM)</w:t>
      </w:r>
    </w:p>
    <w:p w14:paraId="17F7B38E" w14:textId="77777777" w:rsidR="00EA21BA" w:rsidRPr="00D35BA8" w:rsidRDefault="00EA21BA" w:rsidP="00EA21BA">
      <w:pPr>
        <w:pStyle w:val="PlainText"/>
        <w:spacing w:before="240" w:line="360" w:lineRule="auto"/>
        <w:ind w:left="142"/>
        <w:rPr>
          <w:rFonts w:ascii="Nunito Sans" w:hAnsi="Nunito Sans"/>
          <w:sz w:val="18"/>
          <w:szCs w:val="18"/>
        </w:rPr>
      </w:pPr>
      <w:r w:rsidRPr="00D35BA8">
        <w:rPr>
          <w:rFonts w:ascii="Nunito Sans" w:hAnsi="Nunito Sans"/>
          <w:sz w:val="18"/>
          <w:szCs w:val="18"/>
        </w:rPr>
        <w:t>The CSM is adjusted for:</w:t>
      </w:r>
    </w:p>
    <w:p w14:paraId="14B015EC" w14:textId="77777777" w:rsidR="00EA21BA" w:rsidRPr="00D35BA8" w:rsidRDefault="00EA21BA" w:rsidP="00EA21BA">
      <w:pPr>
        <w:pStyle w:val="PlainText"/>
        <w:numPr>
          <w:ilvl w:val="0"/>
          <w:numId w:val="32"/>
        </w:numPr>
        <w:spacing w:before="240" w:line="360" w:lineRule="auto"/>
        <w:ind w:left="142" w:firstLine="0"/>
        <w:rPr>
          <w:rFonts w:ascii="Nunito Sans" w:hAnsi="Nunito Sans"/>
          <w:sz w:val="18"/>
          <w:szCs w:val="18"/>
        </w:rPr>
      </w:pPr>
      <w:r w:rsidRPr="00D35BA8">
        <w:rPr>
          <w:rFonts w:ascii="Nunito Sans" w:hAnsi="Nunito Sans"/>
          <w:sz w:val="18"/>
          <w:szCs w:val="18"/>
        </w:rPr>
        <w:t>Changes in fulfilment cash flows related to future service</w:t>
      </w:r>
    </w:p>
    <w:p w14:paraId="4245AF37" w14:textId="77777777" w:rsidR="00EA21BA" w:rsidRPr="00D35BA8" w:rsidRDefault="00EA21BA" w:rsidP="00EA21BA">
      <w:pPr>
        <w:pStyle w:val="PlainText"/>
        <w:numPr>
          <w:ilvl w:val="0"/>
          <w:numId w:val="32"/>
        </w:numPr>
        <w:spacing w:before="240" w:line="360" w:lineRule="auto"/>
        <w:ind w:left="142" w:firstLine="0"/>
        <w:rPr>
          <w:rFonts w:ascii="Nunito Sans" w:hAnsi="Nunito Sans"/>
          <w:sz w:val="18"/>
          <w:szCs w:val="18"/>
        </w:rPr>
      </w:pPr>
      <w:r w:rsidRPr="00D35BA8">
        <w:rPr>
          <w:rFonts w:ascii="Nunito Sans" w:hAnsi="Nunito Sans"/>
          <w:sz w:val="18"/>
          <w:szCs w:val="18"/>
        </w:rPr>
        <w:t>Accretion of interest using the locked-in rate</w:t>
      </w:r>
    </w:p>
    <w:p w14:paraId="065F9877" w14:textId="77777777" w:rsidR="00EA21BA" w:rsidRPr="00D35BA8" w:rsidRDefault="00EA21BA" w:rsidP="00EA21BA">
      <w:pPr>
        <w:pStyle w:val="PlainText"/>
        <w:numPr>
          <w:ilvl w:val="0"/>
          <w:numId w:val="32"/>
        </w:numPr>
        <w:spacing w:before="240" w:line="360" w:lineRule="auto"/>
        <w:ind w:left="142" w:firstLine="0"/>
        <w:rPr>
          <w:rFonts w:ascii="Nunito Sans" w:hAnsi="Nunito Sans"/>
          <w:sz w:val="18"/>
          <w:szCs w:val="18"/>
        </w:rPr>
      </w:pPr>
      <w:r w:rsidRPr="00D35BA8">
        <w:rPr>
          <w:rFonts w:ascii="Nunito Sans" w:hAnsi="Nunito Sans"/>
          <w:sz w:val="18"/>
          <w:szCs w:val="18"/>
        </w:rPr>
        <w:t>Release to profit or loss based on the coverage units</w:t>
      </w:r>
    </w:p>
    <w:p w14:paraId="1C68CBA6" w14:textId="77777777" w:rsidR="00EA21BA" w:rsidRDefault="00EA21BA" w:rsidP="00EA21BA">
      <w:pPr>
        <w:pStyle w:val="PlainText"/>
        <w:spacing w:before="240" w:line="360" w:lineRule="auto"/>
        <w:ind w:left="142"/>
        <w:rPr>
          <w:rFonts w:ascii="Nunito Sans" w:hAnsi="Nunito Sans"/>
          <w:sz w:val="18"/>
          <w:szCs w:val="18"/>
        </w:rPr>
      </w:pPr>
      <w:r>
        <w:rPr>
          <w:rFonts w:ascii="Nunito Sans" w:hAnsi="Nunito Sans"/>
          <w:sz w:val="18"/>
          <w:szCs w:val="18"/>
        </w:rPr>
        <w:t xml:space="preserve">It is </w:t>
      </w:r>
      <w:r w:rsidRPr="00D95E4D">
        <w:rPr>
          <w:rFonts w:ascii="Nunito Sans" w:hAnsi="Nunito Sans"/>
          <w:b/>
          <w:bCs/>
          <w:sz w:val="18"/>
          <w:szCs w:val="18"/>
        </w:rPr>
        <w:t>not adjusted</w:t>
      </w:r>
      <w:r>
        <w:rPr>
          <w:rFonts w:ascii="Nunito Sans" w:hAnsi="Nunito Sans"/>
          <w:sz w:val="18"/>
          <w:szCs w:val="18"/>
        </w:rPr>
        <w:t xml:space="preserve"> for:</w:t>
      </w:r>
    </w:p>
    <w:p w14:paraId="7B595E8A" w14:textId="77777777" w:rsidR="00EA21BA" w:rsidRDefault="00EA21BA" w:rsidP="00EA21BA">
      <w:pPr>
        <w:pStyle w:val="PlainText"/>
        <w:numPr>
          <w:ilvl w:val="0"/>
          <w:numId w:val="31"/>
        </w:numPr>
        <w:spacing w:before="240" w:line="360" w:lineRule="auto"/>
        <w:ind w:left="142" w:firstLine="0"/>
        <w:rPr>
          <w:rFonts w:ascii="Nunito Sans" w:hAnsi="Nunito Sans"/>
          <w:sz w:val="18"/>
          <w:szCs w:val="18"/>
        </w:rPr>
      </w:pPr>
      <w:r w:rsidRPr="00953712">
        <w:rPr>
          <w:rFonts w:ascii="Nunito Sans" w:hAnsi="Nunito Sans"/>
          <w:sz w:val="18"/>
          <w:szCs w:val="18"/>
        </w:rPr>
        <w:t>Changes related to past or current service</w:t>
      </w:r>
    </w:p>
    <w:p w14:paraId="2E8CE006" w14:textId="77777777" w:rsidR="00EA21BA" w:rsidRDefault="00EA21BA" w:rsidP="00EA21BA">
      <w:pPr>
        <w:pStyle w:val="PlainText"/>
        <w:numPr>
          <w:ilvl w:val="0"/>
          <w:numId w:val="31"/>
        </w:numPr>
        <w:spacing w:before="240" w:line="360" w:lineRule="auto"/>
        <w:ind w:left="142" w:firstLine="0"/>
        <w:rPr>
          <w:rFonts w:ascii="Nunito Sans" w:hAnsi="Nunito Sans"/>
          <w:sz w:val="18"/>
          <w:szCs w:val="18"/>
        </w:rPr>
      </w:pPr>
      <w:r w:rsidRPr="00953712">
        <w:rPr>
          <w:rFonts w:ascii="Nunito Sans" w:hAnsi="Nunito Sans"/>
          <w:sz w:val="18"/>
          <w:szCs w:val="18"/>
        </w:rPr>
        <w:t>Experience variances from prior periods</w:t>
      </w:r>
    </w:p>
    <w:p w14:paraId="6D7B24D0" w14:textId="77777777" w:rsidR="00EA21BA" w:rsidRDefault="00EA21BA" w:rsidP="00EA21BA">
      <w:pPr>
        <w:pStyle w:val="PlainText"/>
        <w:spacing w:before="240" w:line="360" w:lineRule="auto"/>
        <w:ind w:left="142"/>
        <w:rPr>
          <w:rFonts w:ascii="Nunito Sans" w:hAnsi="Nunito Sans"/>
          <w:b/>
          <w:bCs/>
          <w:sz w:val="18"/>
          <w:szCs w:val="18"/>
        </w:rPr>
      </w:pPr>
      <w:r>
        <w:rPr>
          <w:rFonts w:ascii="Nunito Sans" w:hAnsi="Nunito Sans"/>
          <w:b/>
          <w:bCs/>
          <w:sz w:val="18"/>
          <w:szCs w:val="18"/>
        </w:rPr>
        <w:t>Scenario:</w:t>
      </w:r>
    </w:p>
    <w:p w14:paraId="28402937" w14:textId="77777777" w:rsidR="00EA21BA" w:rsidRPr="000D1E0A" w:rsidRDefault="00EA21BA" w:rsidP="00EA21BA">
      <w:pPr>
        <w:pStyle w:val="PlainText"/>
        <w:numPr>
          <w:ilvl w:val="0"/>
          <w:numId w:val="30"/>
        </w:numPr>
        <w:spacing w:before="240" w:line="360" w:lineRule="auto"/>
        <w:ind w:left="142" w:firstLine="0"/>
        <w:rPr>
          <w:rFonts w:ascii="Nunito Sans" w:hAnsi="Nunito Sans"/>
          <w:sz w:val="18"/>
          <w:szCs w:val="18"/>
        </w:rPr>
      </w:pPr>
      <w:r w:rsidRPr="000D1E0A">
        <w:rPr>
          <w:rFonts w:ascii="Nunito Sans" w:hAnsi="Nunito Sans"/>
          <w:sz w:val="18"/>
          <w:szCs w:val="18"/>
        </w:rPr>
        <w:t>Opening CSM: KES 150,000</w:t>
      </w:r>
    </w:p>
    <w:p w14:paraId="4079DAF4" w14:textId="77777777" w:rsidR="00EA21BA" w:rsidRPr="000D1E0A" w:rsidRDefault="00EA21BA" w:rsidP="00EA21BA">
      <w:pPr>
        <w:pStyle w:val="PlainText"/>
        <w:numPr>
          <w:ilvl w:val="0"/>
          <w:numId w:val="30"/>
        </w:numPr>
        <w:spacing w:before="240" w:line="360" w:lineRule="auto"/>
        <w:ind w:left="142" w:firstLine="0"/>
        <w:rPr>
          <w:rFonts w:ascii="Nunito Sans" w:hAnsi="Nunito Sans"/>
          <w:sz w:val="18"/>
          <w:szCs w:val="18"/>
        </w:rPr>
      </w:pPr>
      <w:r w:rsidRPr="000D1E0A">
        <w:rPr>
          <w:rFonts w:ascii="Nunito Sans" w:hAnsi="Nunito Sans"/>
          <w:sz w:val="18"/>
          <w:szCs w:val="18"/>
        </w:rPr>
        <w:t>Interest accretion: KES 5,000</w:t>
      </w:r>
    </w:p>
    <w:p w14:paraId="1DD1906B" w14:textId="77777777" w:rsidR="00EA21BA" w:rsidRPr="000D1E0A" w:rsidRDefault="00EA21BA" w:rsidP="00EA21BA">
      <w:pPr>
        <w:pStyle w:val="PlainText"/>
        <w:numPr>
          <w:ilvl w:val="0"/>
          <w:numId w:val="30"/>
        </w:numPr>
        <w:spacing w:before="240" w:line="360" w:lineRule="auto"/>
        <w:ind w:left="142" w:firstLine="0"/>
        <w:rPr>
          <w:rFonts w:ascii="Nunito Sans" w:hAnsi="Nunito Sans"/>
          <w:sz w:val="18"/>
          <w:szCs w:val="18"/>
        </w:rPr>
      </w:pPr>
      <w:r w:rsidRPr="000D1E0A">
        <w:rPr>
          <w:rFonts w:ascii="Nunito Sans" w:hAnsi="Nunito Sans"/>
          <w:sz w:val="18"/>
          <w:szCs w:val="18"/>
        </w:rPr>
        <w:t>Adjustment from change in future cash flows: KES -30,000</w:t>
      </w:r>
    </w:p>
    <w:p w14:paraId="0B9E212E" w14:textId="77777777" w:rsidR="00EA21BA" w:rsidRDefault="00EA21BA" w:rsidP="00EA21BA">
      <w:pPr>
        <w:pStyle w:val="PlainText"/>
        <w:numPr>
          <w:ilvl w:val="0"/>
          <w:numId w:val="30"/>
        </w:numPr>
        <w:spacing w:before="240" w:line="360" w:lineRule="auto"/>
        <w:ind w:left="142" w:firstLine="0"/>
        <w:rPr>
          <w:rFonts w:ascii="Nunito Sans" w:hAnsi="Nunito Sans"/>
          <w:sz w:val="18"/>
          <w:szCs w:val="18"/>
        </w:rPr>
      </w:pPr>
      <w:r w:rsidRPr="000D1E0A">
        <w:rPr>
          <w:rFonts w:ascii="Nunito Sans" w:hAnsi="Nunito Sans"/>
          <w:sz w:val="18"/>
          <w:szCs w:val="18"/>
        </w:rPr>
        <w:t>Release based on service provided: KES 20,000</w:t>
      </w:r>
    </w:p>
    <w:p w14:paraId="4C6BA00D" w14:textId="77777777" w:rsidR="00EA21BA" w:rsidRDefault="00EA21BA" w:rsidP="00EA21BA">
      <w:pPr>
        <w:pStyle w:val="PlainText"/>
        <w:spacing w:before="240" w:line="360" w:lineRule="auto"/>
        <w:ind w:left="142"/>
        <w:rPr>
          <w:rFonts w:ascii="Nunito Sans" w:hAnsi="Nunito Sans"/>
          <w:b/>
          <w:bCs/>
          <w:sz w:val="18"/>
          <w:szCs w:val="18"/>
        </w:rPr>
      </w:pPr>
      <w:r>
        <w:rPr>
          <w:rFonts w:ascii="Nunito Sans" w:hAnsi="Nunito Sans"/>
          <w:b/>
          <w:bCs/>
          <w:sz w:val="18"/>
          <w:szCs w:val="18"/>
        </w:rPr>
        <w:t>Calculation:</w:t>
      </w:r>
    </w:p>
    <w:p w14:paraId="57E7F15B" w14:textId="77777777" w:rsidR="00EA21BA" w:rsidRPr="004B3581" w:rsidRDefault="00EA21BA" w:rsidP="00EA21BA">
      <w:pPr>
        <w:pStyle w:val="PlainText"/>
        <w:numPr>
          <w:ilvl w:val="0"/>
          <w:numId w:val="29"/>
        </w:numPr>
        <w:spacing w:before="240" w:line="360" w:lineRule="auto"/>
        <w:ind w:left="142" w:firstLine="0"/>
        <w:rPr>
          <w:rFonts w:ascii="Nunito Sans" w:hAnsi="Nunito Sans"/>
          <w:sz w:val="18"/>
          <w:szCs w:val="18"/>
        </w:rPr>
      </w:pPr>
      <w:r w:rsidRPr="004B3581">
        <w:rPr>
          <w:rFonts w:ascii="Nunito Sans" w:hAnsi="Nunito Sans"/>
          <w:sz w:val="18"/>
          <w:szCs w:val="18"/>
        </w:rPr>
        <w:t>Adjusted CSM = 150,000 + 5,000 - 30,000 - 20,000 = KES 105,000</w:t>
      </w:r>
    </w:p>
    <w:p w14:paraId="782319B4" w14:textId="77777777" w:rsidR="00EA21BA" w:rsidRPr="004B3581" w:rsidRDefault="00EA21BA" w:rsidP="00EA21BA">
      <w:pPr>
        <w:pStyle w:val="PlainText"/>
        <w:numPr>
          <w:ilvl w:val="0"/>
          <w:numId w:val="29"/>
        </w:numPr>
        <w:spacing w:before="240" w:line="360" w:lineRule="auto"/>
        <w:ind w:left="142" w:firstLine="0"/>
        <w:rPr>
          <w:rFonts w:ascii="Nunito Sans" w:hAnsi="Nunito Sans"/>
          <w:sz w:val="18"/>
          <w:szCs w:val="18"/>
        </w:rPr>
      </w:pPr>
      <w:r w:rsidRPr="004B3581">
        <w:rPr>
          <w:rFonts w:ascii="Nunito Sans" w:hAnsi="Nunito Sans"/>
          <w:sz w:val="18"/>
          <w:szCs w:val="18"/>
        </w:rPr>
        <w:lastRenderedPageBreak/>
        <w:t>If the change in future service exceeded the CSM, the excess would be recognized as a loss.</w:t>
      </w:r>
    </w:p>
    <w:p w14:paraId="759E12F0" w14:textId="77777777" w:rsidR="00EA21BA" w:rsidRDefault="00EA21BA" w:rsidP="00EA21BA">
      <w:pPr>
        <w:ind w:left="142"/>
        <w:rPr>
          <w:b/>
          <w:bCs/>
          <w:color w:val="A8BC4C"/>
          <w:szCs w:val="18"/>
        </w:rPr>
      </w:pPr>
    </w:p>
    <w:p w14:paraId="4C496777" w14:textId="77777777" w:rsidR="00EA21BA" w:rsidRPr="00C83E73" w:rsidRDefault="00EA21BA" w:rsidP="00EA21BA">
      <w:pPr>
        <w:ind w:left="142"/>
        <w:rPr>
          <w:b/>
          <w:bCs/>
          <w:color w:val="A8BC4C"/>
          <w:szCs w:val="18"/>
        </w:rPr>
      </w:pPr>
      <w:r w:rsidRPr="00C83E73">
        <w:rPr>
          <w:b/>
          <w:bCs/>
          <w:color w:val="A8BC4C"/>
          <w:szCs w:val="18"/>
        </w:rPr>
        <w:t>KEY TAKEWAYS</w:t>
      </w:r>
    </w:p>
    <w:p w14:paraId="371317D3" w14:textId="77777777" w:rsidR="00EA21BA" w:rsidRPr="003248F3" w:rsidRDefault="00EA21BA" w:rsidP="00EA21BA">
      <w:pPr>
        <w:pStyle w:val="PlainText"/>
        <w:numPr>
          <w:ilvl w:val="0"/>
          <w:numId w:val="28"/>
        </w:numPr>
        <w:spacing w:before="240" w:line="360" w:lineRule="auto"/>
        <w:ind w:left="142" w:firstLine="0"/>
        <w:rPr>
          <w:rFonts w:ascii="Nunito Sans" w:hAnsi="Nunito Sans"/>
          <w:sz w:val="18"/>
          <w:szCs w:val="18"/>
        </w:rPr>
      </w:pPr>
      <w:r w:rsidRPr="003248F3">
        <w:rPr>
          <w:rFonts w:ascii="Nunito Sans" w:hAnsi="Nunito Sans"/>
          <w:sz w:val="18"/>
          <w:szCs w:val="18"/>
        </w:rPr>
        <w:t>Subsequent measurement ensures that liabilities reflect the current</w:t>
      </w:r>
      <w:r w:rsidRPr="003248F3">
        <w:rPr>
          <w:szCs w:val="18"/>
        </w:rPr>
        <w:t xml:space="preserve"> </w:t>
      </w:r>
      <w:r w:rsidRPr="003248F3">
        <w:rPr>
          <w:rFonts w:ascii="Nunito Sans" w:hAnsi="Nunito Sans"/>
          <w:sz w:val="18"/>
          <w:szCs w:val="18"/>
        </w:rPr>
        <w:t xml:space="preserve">expectations of future service and </w:t>
      </w:r>
      <w:proofErr w:type="gramStart"/>
      <w:r w:rsidRPr="003248F3">
        <w:rPr>
          <w:rFonts w:ascii="Nunito Sans" w:hAnsi="Nunito Sans"/>
          <w:sz w:val="18"/>
          <w:szCs w:val="18"/>
        </w:rPr>
        <w:t>incurred</w:t>
      </w:r>
      <w:proofErr w:type="gramEnd"/>
      <w:r w:rsidRPr="003248F3">
        <w:rPr>
          <w:rFonts w:ascii="Nunito Sans" w:hAnsi="Nunito Sans"/>
          <w:sz w:val="18"/>
          <w:szCs w:val="18"/>
        </w:rPr>
        <w:t xml:space="preserve"> obligations.</w:t>
      </w:r>
    </w:p>
    <w:p w14:paraId="7285BA17" w14:textId="77777777" w:rsidR="00EA21BA" w:rsidRPr="003248F3" w:rsidRDefault="00EA21BA" w:rsidP="00EA21BA">
      <w:pPr>
        <w:pStyle w:val="PlainText"/>
        <w:numPr>
          <w:ilvl w:val="0"/>
          <w:numId w:val="28"/>
        </w:numPr>
        <w:spacing w:before="240" w:line="360" w:lineRule="auto"/>
        <w:ind w:left="142" w:firstLine="0"/>
        <w:rPr>
          <w:rFonts w:ascii="Nunito Sans" w:hAnsi="Nunito Sans"/>
          <w:sz w:val="18"/>
          <w:szCs w:val="18"/>
        </w:rPr>
      </w:pPr>
      <w:r w:rsidRPr="003248F3">
        <w:rPr>
          <w:rFonts w:ascii="Nunito Sans" w:hAnsi="Nunito Sans"/>
          <w:sz w:val="18"/>
          <w:szCs w:val="18"/>
        </w:rPr>
        <w:t>The LRC and LIC are updated continuously as new information becomes available.</w:t>
      </w:r>
    </w:p>
    <w:p w14:paraId="0F40E64A" w14:textId="77777777" w:rsidR="00EA21BA" w:rsidRPr="003248F3" w:rsidRDefault="00EA21BA" w:rsidP="00EA21BA">
      <w:pPr>
        <w:pStyle w:val="PlainText"/>
        <w:numPr>
          <w:ilvl w:val="0"/>
          <w:numId w:val="28"/>
        </w:numPr>
        <w:spacing w:before="240" w:line="360" w:lineRule="auto"/>
        <w:ind w:left="142" w:firstLine="0"/>
        <w:rPr>
          <w:rFonts w:ascii="Nunito Sans" w:hAnsi="Nunito Sans"/>
          <w:sz w:val="18"/>
          <w:szCs w:val="18"/>
        </w:rPr>
      </w:pPr>
      <w:r w:rsidRPr="003248F3">
        <w:rPr>
          <w:rFonts w:ascii="Nunito Sans" w:hAnsi="Nunito Sans"/>
          <w:sz w:val="18"/>
          <w:szCs w:val="18"/>
        </w:rPr>
        <w:t>The CSM plays a critical role in spreading profit recognition over the service period.</w:t>
      </w:r>
    </w:p>
    <w:p w14:paraId="47CF67F2" w14:textId="77777777" w:rsidR="00EA21BA" w:rsidRDefault="00EA21BA" w:rsidP="00EA21BA">
      <w:pPr>
        <w:pStyle w:val="PlainText"/>
        <w:numPr>
          <w:ilvl w:val="0"/>
          <w:numId w:val="28"/>
        </w:numPr>
        <w:spacing w:before="240" w:line="360" w:lineRule="auto"/>
        <w:ind w:left="142" w:firstLine="0"/>
        <w:rPr>
          <w:rFonts w:ascii="Nunito Sans" w:hAnsi="Nunito Sans"/>
          <w:sz w:val="18"/>
          <w:szCs w:val="18"/>
        </w:rPr>
      </w:pPr>
      <w:r w:rsidRPr="003248F3">
        <w:rPr>
          <w:rFonts w:ascii="Nunito Sans" w:hAnsi="Nunito Sans"/>
          <w:sz w:val="18"/>
          <w:szCs w:val="18"/>
        </w:rPr>
        <w:t>Onerous contract assessments continue throughout the contract’s life.</w:t>
      </w:r>
    </w:p>
    <w:p w14:paraId="7AD37831" w14:textId="77777777" w:rsidR="00EA21BA" w:rsidRPr="00DD7C8C" w:rsidRDefault="00EA21BA" w:rsidP="00EA21BA">
      <w:pPr>
        <w:pStyle w:val="PlainText"/>
        <w:numPr>
          <w:ilvl w:val="0"/>
          <w:numId w:val="28"/>
        </w:numPr>
        <w:spacing w:before="240" w:line="360" w:lineRule="auto"/>
        <w:ind w:left="142" w:firstLine="0"/>
        <w:rPr>
          <w:rFonts w:ascii="Nunito Sans" w:hAnsi="Nunito Sans"/>
          <w:sz w:val="18"/>
          <w:szCs w:val="18"/>
        </w:rPr>
      </w:pPr>
      <w:r w:rsidRPr="00DD7C8C">
        <w:rPr>
          <w:rFonts w:ascii="Nunito Sans" w:hAnsi="Nunito Sans"/>
          <w:sz w:val="18"/>
          <w:szCs w:val="18"/>
        </w:rPr>
        <w:t>ULAE should be included in fulfilment cash flows for incurred claims and estimated using sound actuarial techniques.</w:t>
      </w:r>
    </w:p>
    <w:p w14:paraId="5D713077" w14:textId="74239D0E" w:rsidR="00DD7C8C" w:rsidRPr="0034365A" w:rsidRDefault="00DD7C8C" w:rsidP="0034365A"/>
    <w:sectPr w:rsidR="00DD7C8C" w:rsidRPr="0034365A" w:rsidSect="006E4B2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5D03"/>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 w15:restartNumberingAfterBreak="0">
    <w:nsid w:val="0B614CC5"/>
    <w:multiLevelType w:val="hybridMultilevel"/>
    <w:tmpl w:val="C55E37D8"/>
    <w:lvl w:ilvl="0" w:tplc="04090005">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0CEE3741"/>
    <w:multiLevelType w:val="hybridMultilevel"/>
    <w:tmpl w:val="D41A7338"/>
    <w:lvl w:ilvl="0" w:tplc="0409000D">
      <w:start w:val="1"/>
      <w:numFmt w:val="bullet"/>
      <w:lvlText w:val=""/>
      <w:lvlJc w:val="left"/>
      <w:pPr>
        <w:ind w:left="2892" w:hanging="360"/>
      </w:pPr>
      <w:rPr>
        <w:rFonts w:ascii="Wingdings" w:hAnsi="Wingdings"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3" w15:restartNumberingAfterBreak="0">
    <w:nsid w:val="0E96372F"/>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D500F9"/>
    <w:multiLevelType w:val="hybridMultilevel"/>
    <w:tmpl w:val="1D2C8E4A"/>
    <w:lvl w:ilvl="0" w:tplc="04090017">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15:restartNumberingAfterBreak="0">
    <w:nsid w:val="11273801"/>
    <w:multiLevelType w:val="hybridMultilevel"/>
    <w:tmpl w:val="FCA6146E"/>
    <w:lvl w:ilvl="0" w:tplc="45E834DC">
      <w:start w:val="1"/>
      <w:numFmt w:val="lowerLetter"/>
      <w:lvlText w:val="%1)"/>
      <w:lvlJc w:val="left"/>
      <w:pPr>
        <w:ind w:left="2880" w:hanging="360"/>
      </w:pPr>
      <w:rPr>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26028DC"/>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7" w15:restartNumberingAfterBreak="0">
    <w:nsid w:val="145D72FE"/>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8" w15:restartNumberingAfterBreak="0">
    <w:nsid w:val="164A47D3"/>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9" w15:restartNumberingAfterBreak="0">
    <w:nsid w:val="1889645C"/>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21237BA"/>
    <w:multiLevelType w:val="hybridMultilevel"/>
    <w:tmpl w:val="50788AAE"/>
    <w:lvl w:ilvl="0" w:tplc="9ACE60C8">
      <w:start w:val="1"/>
      <w:numFmt w:val="lowerLetter"/>
      <w:lvlText w:val="%1)"/>
      <w:lvlJc w:val="left"/>
      <w:pPr>
        <w:ind w:left="862" w:hanging="360"/>
      </w:pPr>
      <w:rPr>
        <w:b/>
        <w:bCs/>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1" w15:restartNumberingAfterBreak="0">
    <w:nsid w:val="22F66606"/>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B726489"/>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0601DBA"/>
    <w:multiLevelType w:val="hybridMultilevel"/>
    <w:tmpl w:val="B0FC3E84"/>
    <w:lvl w:ilvl="0" w:tplc="9FB8BC26">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865425"/>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24E2ACC"/>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6" w15:restartNumberingAfterBreak="0">
    <w:nsid w:val="392C0448"/>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7" w15:restartNumberingAfterBreak="0">
    <w:nsid w:val="395C35D3"/>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0F951F1"/>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41173C8"/>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90E6293"/>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FBF08CF"/>
    <w:multiLevelType w:val="hybridMultilevel"/>
    <w:tmpl w:val="18B88AD2"/>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1C733E"/>
    <w:multiLevelType w:val="hybridMultilevel"/>
    <w:tmpl w:val="DD2C79FC"/>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15:restartNumberingAfterBreak="0">
    <w:nsid w:val="55C829F0"/>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4" w15:restartNumberingAfterBreak="0">
    <w:nsid w:val="59AC6C4C"/>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EE70F5F"/>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0A72810"/>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60108CE"/>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A9236EF"/>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AE82702"/>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6B602186"/>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22014F7"/>
    <w:multiLevelType w:val="hybridMultilevel"/>
    <w:tmpl w:val="E162204C"/>
    <w:lvl w:ilvl="0" w:tplc="0409000D">
      <w:start w:val="1"/>
      <w:numFmt w:val="bullet"/>
      <w:lvlText w:val=""/>
      <w:lvlJc w:val="left"/>
      <w:pPr>
        <w:ind w:left="3316" w:hanging="360"/>
      </w:pPr>
      <w:rPr>
        <w:rFonts w:ascii="Wingdings" w:hAnsi="Wingdings" w:hint="default"/>
      </w:rPr>
    </w:lvl>
    <w:lvl w:ilvl="1" w:tplc="04090003">
      <w:start w:val="1"/>
      <w:numFmt w:val="bullet"/>
      <w:lvlText w:val="o"/>
      <w:lvlJc w:val="left"/>
      <w:pPr>
        <w:ind w:left="4036" w:hanging="360"/>
      </w:pPr>
      <w:rPr>
        <w:rFonts w:ascii="Courier New" w:hAnsi="Courier New" w:cs="Courier New" w:hint="default"/>
      </w:rPr>
    </w:lvl>
    <w:lvl w:ilvl="2" w:tplc="04090005" w:tentative="1">
      <w:start w:val="1"/>
      <w:numFmt w:val="bullet"/>
      <w:lvlText w:val=""/>
      <w:lvlJc w:val="left"/>
      <w:pPr>
        <w:ind w:left="4756" w:hanging="360"/>
      </w:pPr>
      <w:rPr>
        <w:rFonts w:ascii="Wingdings" w:hAnsi="Wingdings" w:hint="default"/>
      </w:rPr>
    </w:lvl>
    <w:lvl w:ilvl="3" w:tplc="04090001" w:tentative="1">
      <w:start w:val="1"/>
      <w:numFmt w:val="bullet"/>
      <w:lvlText w:val=""/>
      <w:lvlJc w:val="left"/>
      <w:pPr>
        <w:ind w:left="5476" w:hanging="360"/>
      </w:pPr>
      <w:rPr>
        <w:rFonts w:ascii="Symbol" w:hAnsi="Symbol" w:hint="default"/>
      </w:rPr>
    </w:lvl>
    <w:lvl w:ilvl="4" w:tplc="04090003" w:tentative="1">
      <w:start w:val="1"/>
      <w:numFmt w:val="bullet"/>
      <w:lvlText w:val="o"/>
      <w:lvlJc w:val="left"/>
      <w:pPr>
        <w:ind w:left="6196" w:hanging="360"/>
      </w:pPr>
      <w:rPr>
        <w:rFonts w:ascii="Courier New" w:hAnsi="Courier New" w:cs="Courier New" w:hint="default"/>
      </w:rPr>
    </w:lvl>
    <w:lvl w:ilvl="5" w:tplc="04090005" w:tentative="1">
      <w:start w:val="1"/>
      <w:numFmt w:val="bullet"/>
      <w:lvlText w:val=""/>
      <w:lvlJc w:val="left"/>
      <w:pPr>
        <w:ind w:left="6916" w:hanging="360"/>
      </w:pPr>
      <w:rPr>
        <w:rFonts w:ascii="Wingdings" w:hAnsi="Wingdings" w:hint="default"/>
      </w:rPr>
    </w:lvl>
    <w:lvl w:ilvl="6" w:tplc="04090001" w:tentative="1">
      <w:start w:val="1"/>
      <w:numFmt w:val="bullet"/>
      <w:lvlText w:val=""/>
      <w:lvlJc w:val="left"/>
      <w:pPr>
        <w:ind w:left="7636" w:hanging="360"/>
      </w:pPr>
      <w:rPr>
        <w:rFonts w:ascii="Symbol" w:hAnsi="Symbol" w:hint="default"/>
      </w:rPr>
    </w:lvl>
    <w:lvl w:ilvl="7" w:tplc="04090003" w:tentative="1">
      <w:start w:val="1"/>
      <w:numFmt w:val="bullet"/>
      <w:lvlText w:val="o"/>
      <w:lvlJc w:val="left"/>
      <w:pPr>
        <w:ind w:left="8356" w:hanging="360"/>
      </w:pPr>
      <w:rPr>
        <w:rFonts w:ascii="Courier New" w:hAnsi="Courier New" w:cs="Courier New" w:hint="default"/>
      </w:rPr>
    </w:lvl>
    <w:lvl w:ilvl="8" w:tplc="04090005" w:tentative="1">
      <w:start w:val="1"/>
      <w:numFmt w:val="bullet"/>
      <w:lvlText w:val=""/>
      <w:lvlJc w:val="left"/>
      <w:pPr>
        <w:ind w:left="9076" w:hanging="360"/>
      </w:pPr>
      <w:rPr>
        <w:rFonts w:ascii="Wingdings" w:hAnsi="Wingdings" w:hint="default"/>
      </w:rPr>
    </w:lvl>
  </w:abstractNum>
  <w:abstractNum w:abstractNumId="32" w15:restartNumberingAfterBreak="0">
    <w:nsid w:val="7633576F"/>
    <w:multiLevelType w:val="hybridMultilevel"/>
    <w:tmpl w:val="1D2C8E4A"/>
    <w:lvl w:ilvl="0" w:tplc="FFFFFFFF">
      <w:start w:val="1"/>
      <w:numFmt w:val="lowerLetter"/>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3" w15:restartNumberingAfterBreak="0">
    <w:nsid w:val="773570D0"/>
    <w:multiLevelType w:val="multilevel"/>
    <w:tmpl w:val="648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C259F"/>
    <w:multiLevelType w:val="hybridMultilevel"/>
    <w:tmpl w:val="ED4A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B2217"/>
    <w:multiLevelType w:val="hybridMultilevel"/>
    <w:tmpl w:val="99CA6B98"/>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28640993">
    <w:abstractNumId w:val="34"/>
  </w:num>
  <w:num w:numId="2" w16cid:durableId="635987055">
    <w:abstractNumId w:val="13"/>
  </w:num>
  <w:num w:numId="3" w16cid:durableId="37896482">
    <w:abstractNumId w:val="31"/>
  </w:num>
  <w:num w:numId="4" w16cid:durableId="1672101618">
    <w:abstractNumId w:val="5"/>
  </w:num>
  <w:num w:numId="5" w16cid:durableId="2041513193">
    <w:abstractNumId w:val="2"/>
  </w:num>
  <w:num w:numId="6" w16cid:durableId="494029358">
    <w:abstractNumId w:val="1"/>
  </w:num>
  <w:num w:numId="7" w16cid:durableId="1102652289">
    <w:abstractNumId w:val="22"/>
  </w:num>
  <w:num w:numId="8" w16cid:durableId="1986615951">
    <w:abstractNumId w:val="33"/>
  </w:num>
  <w:num w:numId="9" w16cid:durableId="1682004149">
    <w:abstractNumId w:val="21"/>
  </w:num>
  <w:num w:numId="10" w16cid:durableId="1523668224">
    <w:abstractNumId w:val="14"/>
  </w:num>
  <w:num w:numId="11" w16cid:durableId="58478460">
    <w:abstractNumId w:val="35"/>
  </w:num>
  <w:num w:numId="12" w16cid:durableId="352923241">
    <w:abstractNumId w:val="17"/>
  </w:num>
  <w:num w:numId="13" w16cid:durableId="1802382173">
    <w:abstractNumId w:val="20"/>
  </w:num>
  <w:num w:numId="14" w16cid:durableId="865018697">
    <w:abstractNumId w:val="11"/>
  </w:num>
  <w:num w:numId="15" w16cid:durableId="1983077947">
    <w:abstractNumId w:val="24"/>
  </w:num>
  <w:num w:numId="16" w16cid:durableId="1791628791">
    <w:abstractNumId w:val="9"/>
  </w:num>
  <w:num w:numId="17" w16cid:durableId="605700054">
    <w:abstractNumId w:val="29"/>
  </w:num>
  <w:num w:numId="18" w16cid:durableId="524952642">
    <w:abstractNumId w:val="26"/>
  </w:num>
  <w:num w:numId="19" w16cid:durableId="1620994349">
    <w:abstractNumId w:val="25"/>
  </w:num>
  <w:num w:numId="20" w16cid:durableId="84114191">
    <w:abstractNumId w:val="19"/>
  </w:num>
  <w:num w:numId="21" w16cid:durableId="833301194">
    <w:abstractNumId w:val="3"/>
  </w:num>
  <w:num w:numId="22" w16cid:durableId="121387832">
    <w:abstractNumId w:val="27"/>
  </w:num>
  <w:num w:numId="23" w16cid:durableId="1475610152">
    <w:abstractNumId w:val="18"/>
  </w:num>
  <w:num w:numId="24" w16cid:durableId="478808374">
    <w:abstractNumId w:val="12"/>
  </w:num>
  <w:num w:numId="25" w16cid:durableId="478040751">
    <w:abstractNumId w:val="28"/>
  </w:num>
  <w:num w:numId="26" w16cid:durableId="1426655475">
    <w:abstractNumId w:val="30"/>
  </w:num>
  <w:num w:numId="27" w16cid:durableId="2074312332">
    <w:abstractNumId w:val="4"/>
  </w:num>
  <w:num w:numId="28" w16cid:durableId="1319923691">
    <w:abstractNumId w:val="7"/>
  </w:num>
  <w:num w:numId="29" w16cid:durableId="591009313">
    <w:abstractNumId w:val="23"/>
  </w:num>
  <w:num w:numId="30" w16cid:durableId="520243005">
    <w:abstractNumId w:val="8"/>
  </w:num>
  <w:num w:numId="31" w16cid:durableId="2114401203">
    <w:abstractNumId w:val="32"/>
  </w:num>
  <w:num w:numId="32" w16cid:durableId="1125006768">
    <w:abstractNumId w:val="6"/>
  </w:num>
  <w:num w:numId="33" w16cid:durableId="383917734">
    <w:abstractNumId w:val="10"/>
  </w:num>
  <w:num w:numId="34" w16cid:durableId="1939752008">
    <w:abstractNumId w:val="16"/>
  </w:num>
  <w:num w:numId="35" w16cid:durableId="140662454">
    <w:abstractNumId w:val="0"/>
  </w:num>
  <w:num w:numId="36" w16cid:durableId="1716512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37"/>
    <w:rsid w:val="000251EC"/>
    <w:rsid w:val="000259AA"/>
    <w:rsid w:val="000318AF"/>
    <w:rsid w:val="00063E52"/>
    <w:rsid w:val="00065251"/>
    <w:rsid w:val="00065991"/>
    <w:rsid w:val="0007527C"/>
    <w:rsid w:val="00091AF7"/>
    <w:rsid w:val="000925C0"/>
    <w:rsid w:val="000A0273"/>
    <w:rsid w:val="000A3ED0"/>
    <w:rsid w:val="000A620D"/>
    <w:rsid w:val="000C2BFD"/>
    <w:rsid w:val="000D1E0A"/>
    <w:rsid w:val="000E5AFF"/>
    <w:rsid w:val="00101848"/>
    <w:rsid w:val="001022C2"/>
    <w:rsid w:val="0010637C"/>
    <w:rsid w:val="0010732B"/>
    <w:rsid w:val="00115208"/>
    <w:rsid w:val="00143DF4"/>
    <w:rsid w:val="00147B54"/>
    <w:rsid w:val="00155DF4"/>
    <w:rsid w:val="00166A0B"/>
    <w:rsid w:val="00166D7C"/>
    <w:rsid w:val="001827A8"/>
    <w:rsid w:val="001A17B1"/>
    <w:rsid w:val="001A619D"/>
    <w:rsid w:val="001B0ACA"/>
    <w:rsid w:val="001D3F8A"/>
    <w:rsid w:val="00201FA8"/>
    <w:rsid w:val="0022029C"/>
    <w:rsid w:val="00227101"/>
    <w:rsid w:val="00240D10"/>
    <w:rsid w:val="00257FEB"/>
    <w:rsid w:val="00266927"/>
    <w:rsid w:val="00281E57"/>
    <w:rsid w:val="00284439"/>
    <w:rsid w:val="002C56CE"/>
    <w:rsid w:val="002D5054"/>
    <w:rsid w:val="002F4B20"/>
    <w:rsid w:val="003248F3"/>
    <w:rsid w:val="003258EB"/>
    <w:rsid w:val="0033355B"/>
    <w:rsid w:val="0034365A"/>
    <w:rsid w:val="003561BF"/>
    <w:rsid w:val="00372FDE"/>
    <w:rsid w:val="003735BB"/>
    <w:rsid w:val="00373BAE"/>
    <w:rsid w:val="0038408E"/>
    <w:rsid w:val="00385A0C"/>
    <w:rsid w:val="003B1DE5"/>
    <w:rsid w:val="003C3711"/>
    <w:rsid w:val="003C4CD4"/>
    <w:rsid w:val="003D4912"/>
    <w:rsid w:val="003D7919"/>
    <w:rsid w:val="003E1556"/>
    <w:rsid w:val="003E19C8"/>
    <w:rsid w:val="003F4A11"/>
    <w:rsid w:val="004007BE"/>
    <w:rsid w:val="00405276"/>
    <w:rsid w:val="004217EB"/>
    <w:rsid w:val="00421E23"/>
    <w:rsid w:val="00436829"/>
    <w:rsid w:val="00454845"/>
    <w:rsid w:val="0046276E"/>
    <w:rsid w:val="0048089A"/>
    <w:rsid w:val="00482396"/>
    <w:rsid w:val="00491E8B"/>
    <w:rsid w:val="0049354D"/>
    <w:rsid w:val="004A4033"/>
    <w:rsid w:val="004B3581"/>
    <w:rsid w:val="004E62EF"/>
    <w:rsid w:val="0050581B"/>
    <w:rsid w:val="00533917"/>
    <w:rsid w:val="005557E3"/>
    <w:rsid w:val="00557CD7"/>
    <w:rsid w:val="00564F36"/>
    <w:rsid w:val="00572F0D"/>
    <w:rsid w:val="00585632"/>
    <w:rsid w:val="005935A2"/>
    <w:rsid w:val="005B7DA9"/>
    <w:rsid w:val="005D1C23"/>
    <w:rsid w:val="005E003F"/>
    <w:rsid w:val="005E2EC2"/>
    <w:rsid w:val="00683CC0"/>
    <w:rsid w:val="00683E7D"/>
    <w:rsid w:val="006968AA"/>
    <w:rsid w:val="00697931"/>
    <w:rsid w:val="006B7332"/>
    <w:rsid w:val="006E4B23"/>
    <w:rsid w:val="007322F6"/>
    <w:rsid w:val="00747D76"/>
    <w:rsid w:val="00756328"/>
    <w:rsid w:val="00760370"/>
    <w:rsid w:val="007665FD"/>
    <w:rsid w:val="00782E79"/>
    <w:rsid w:val="0078338C"/>
    <w:rsid w:val="007977F3"/>
    <w:rsid w:val="007C7543"/>
    <w:rsid w:val="007D5E95"/>
    <w:rsid w:val="007E300E"/>
    <w:rsid w:val="00805C83"/>
    <w:rsid w:val="00824897"/>
    <w:rsid w:val="00840AC5"/>
    <w:rsid w:val="008473DD"/>
    <w:rsid w:val="008601CC"/>
    <w:rsid w:val="008603FD"/>
    <w:rsid w:val="00860FF7"/>
    <w:rsid w:val="008745E0"/>
    <w:rsid w:val="008803FF"/>
    <w:rsid w:val="00885696"/>
    <w:rsid w:val="00887202"/>
    <w:rsid w:val="00890C8C"/>
    <w:rsid w:val="00895605"/>
    <w:rsid w:val="008A2837"/>
    <w:rsid w:val="008B0DCE"/>
    <w:rsid w:val="008B6844"/>
    <w:rsid w:val="008C7BC5"/>
    <w:rsid w:val="00906D27"/>
    <w:rsid w:val="00913697"/>
    <w:rsid w:val="00913F89"/>
    <w:rsid w:val="00915F9B"/>
    <w:rsid w:val="0092153F"/>
    <w:rsid w:val="00922C48"/>
    <w:rsid w:val="009339B9"/>
    <w:rsid w:val="00936CBA"/>
    <w:rsid w:val="009416C2"/>
    <w:rsid w:val="00946274"/>
    <w:rsid w:val="00953712"/>
    <w:rsid w:val="009614A5"/>
    <w:rsid w:val="00962ADA"/>
    <w:rsid w:val="00965C2B"/>
    <w:rsid w:val="009A0E3D"/>
    <w:rsid w:val="009A2775"/>
    <w:rsid w:val="009B7CD4"/>
    <w:rsid w:val="009C2E96"/>
    <w:rsid w:val="009C6515"/>
    <w:rsid w:val="009D57CD"/>
    <w:rsid w:val="009D6F84"/>
    <w:rsid w:val="009D72E7"/>
    <w:rsid w:val="00A027EF"/>
    <w:rsid w:val="00A3201E"/>
    <w:rsid w:val="00A3343F"/>
    <w:rsid w:val="00A44B78"/>
    <w:rsid w:val="00A53B4D"/>
    <w:rsid w:val="00A77A3F"/>
    <w:rsid w:val="00A835D4"/>
    <w:rsid w:val="00A8691B"/>
    <w:rsid w:val="00AB6E96"/>
    <w:rsid w:val="00AB7611"/>
    <w:rsid w:val="00AD0B1C"/>
    <w:rsid w:val="00AF16CA"/>
    <w:rsid w:val="00AF1FBC"/>
    <w:rsid w:val="00B11A23"/>
    <w:rsid w:val="00B1790E"/>
    <w:rsid w:val="00B30B93"/>
    <w:rsid w:val="00B57D15"/>
    <w:rsid w:val="00B625DC"/>
    <w:rsid w:val="00B70B2E"/>
    <w:rsid w:val="00B7465A"/>
    <w:rsid w:val="00B7476C"/>
    <w:rsid w:val="00B74BA8"/>
    <w:rsid w:val="00BA0F3A"/>
    <w:rsid w:val="00BD05BF"/>
    <w:rsid w:val="00BE4CFE"/>
    <w:rsid w:val="00BF787B"/>
    <w:rsid w:val="00C01707"/>
    <w:rsid w:val="00C27BB7"/>
    <w:rsid w:val="00C312AC"/>
    <w:rsid w:val="00C50B29"/>
    <w:rsid w:val="00C66F6A"/>
    <w:rsid w:val="00C71BE1"/>
    <w:rsid w:val="00C82F16"/>
    <w:rsid w:val="00C857DB"/>
    <w:rsid w:val="00C875E8"/>
    <w:rsid w:val="00C920F4"/>
    <w:rsid w:val="00C9515B"/>
    <w:rsid w:val="00CA34A4"/>
    <w:rsid w:val="00CA3E88"/>
    <w:rsid w:val="00CA6391"/>
    <w:rsid w:val="00CA70DA"/>
    <w:rsid w:val="00CB195B"/>
    <w:rsid w:val="00CE451B"/>
    <w:rsid w:val="00CF19A5"/>
    <w:rsid w:val="00D0097D"/>
    <w:rsid w:val="00D01FA0"/>
    <w:rsid w:val="00D0289F"/>
    <w:rsid w:val="00D17197"/>
    <w:rsid w:val="00D35BA8"/>
    <w:rsid w:val="00D67B1D"/>
    <w:rsid w:val="00D95E4D"/>
    <w:rsid w:val="00D960F9"/>
    <w:rsid w:val="00DC03CF"/>
    <w:rsid w:val="00DC0851"/>
    <w:rsid w:val="00DD7C8C"/>
    <w:rsid w:val="00DF7572"/>
    <w:rsid w:val="00E0557C"/>
    <w:rsid w:val="00E3170A"/>
    <w:rsid w:val="00E42DBF"/>
    <w:rsid w:val="00E51A82"/>
    <w:rsid w:val="00E53FC5"/>
    <w:rsid w:val="00E55F6B"/>
    <w:rsid w:val="00E652BA"/>
    <w:rsid w:val="00E70B6D"/>
    <w:rsid w:val="00E82E21"/>
    <w:rsid w:val="00E849C5"/>
    <w:rsid w:val="00EA21BA"/>
    <w:rsid w:val="00EB2C7F"/>
    <w:rsid w:val="00EB310F"/>
    <w:rsid w:val="00EB3B79"/>
    <w:rsid w:val="00EC2A6E"/>
    <w:rsid w:val="00EC51CC"/>
    <w:rsid w:val="00EC77A4"/>
    <w:rsid w:val="00EE286B"/>
    <w:rsid w:val="00EE2A25"/>
    <w:rsid w:val="00F02D7B"/>
    <w:rsid w:val="00F10189"/>
    <w:rsid w:val="00F34C4C"/>
    <w:rsid w:val="00F40F64"/>
    <w:rsid w:val="00F54676"/>
    <w:rsid w:val="00F54CD9"/>
    <w:rsid w:val="00F8454D"/>
    <w:rsid w:val="00F92CBB"/>
    <w:rsid w:val="00FE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9390"/>
  <w15:chartTrackingRefBased/>
  <w15:docId w15:val="{7D549C36-7CA9-43EF-8C5A-9552D445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unito Sans" w:eastAsiaTheme="minorHAnsi" w:hAnsi="Nunito Sans" w:cs="Courier New"/>
        <w:kern w:val="2"/>
        <w:sz w:val="18"/>
        <w:szCs w:val="21"/>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27EF"/>
    <w:pPr>
      <w:spacing w:after="0" w:line="240" w:lineRule="auto"/>
    </w:pPr>
    <w:rPr>
      <w:rFonts w:ascii="Consolas" w:hAnsi="Consolas"/>
      <w:sz w:val="21"/>
    </w:rPr>
  </w:style>
  <w:style w:type="character" w:customStyle="1" w:styleId="PlainTextChar">
    <w:name w:val="Plain Text Char"/>
    <w:basedOn w:val="DefaultParagraphFont"/>
    <w:link w:val="PlainText"/>
    <w:uiPriority w:val="99"/>
    <w:rsid w:val="00A027EF"/>
    <w:rPr>
      <w:rFonts w:ascii="Consolas" w:hAnsi="Consolas"/>
      <w:sz w:val="21"/>
      <w:szCs w:val="21"/>
    </w:rPr>
  </w:style>
  <w:style w:type="paragraph" w:styleId="NormalWeb">
    <w:name w:val="Normal (Web)"/>
    <w:basedOn w:val="Normal"/>
    <w:uiPriority w:val="99"/>
    <w:semiHidden/>
    <w:unhideWhenUsed/>
    <w:rsid w:val="002669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6927"/>
    <w:rPr>
      <w:b/>
      <w:bCs/>
    </w:rPr>
  </w:style>
  <w:style w:type="paragraph" w:styleId="ListParagraph">
    <w:name w:val="List Paragraph"/>
    <w:basedOn w:val="Normal"/>
    <w:uiPriority w:val="34"/>
    <w:qFormat/>
    <w:rsid w:val="003D4912"/>
    <w:pPr>
      <w:ind w:left="720"/>
      <w:contextualSpacing/>
    </w:pPr>
    <w:rPr>
      <w:rFonts w:cstheme="min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54115">
      <w:bodyDiv w:val="1"/>
      <w:marLeft w:val="0"/>
      <w:marRight w:val="0"/>
      <w:marTop w:val="0"/>
      <w:marBottom w:val="0"/>
      <w:divBdr>
        <w:top w:val="none" w:sz="0" w:space="0" w:color="auto"/>
        <w:left w:val="none" w:sz="0" w:space="0" w:color="auto"/>
        <w:bottom w:val="none" w:sz="0" w:space="0" w:color="auto"/>
        <w:right w:val="none" w:sz="0" w:space="0" w:color="auto"/>
      </w:divBdr>
    </w:div>
    <w:div w:id="270943178">
      <w:bodyDiv w:val="1"/>
      <w:marLeft w:val="0"/>
      <w:marRight w:val="0"/>
      <w:marTop w:val="0"/>
      <w:marBottom w:val="0"/>
      <w:divBdr>
        <w:top w:val="none" w:sz="0" w:space="0" w:color="auto"/>
        <w:left w:val="none" w:sz="0" w:space="0" w:color="auto"/>
        <w:bottom w:val="none" w:sz="0" w:space="0" w:color="auto"/>
        <w:right w:val="none" w:sz="0" w:space="0" w:color="auto"/>
      </w:divBdr>
    </w:div>
    <w:div w:id="794177638">
      <w:bodyDiv w:val="1"/>
      <w:marLeft w:val="0"/>
      <w:marRight w:val="0"/>
      <w:marTop w:val="0"/>
      <w:marBottom w:val="0"/>
      <w:divBdr>
        <w:top w:val="none" w:sz="0" w:space="0" w:color="auto"/>
        <w:left w:val="none" w:sz="0" w:space="0" w:color="auto"/>
        <w:bottom w:val="none" w:sz="0" w:space="0" w:color="auto"/>
        <w:right w:val="none" w:sz="0" w:space="0" w:color="auto"/>
      </w:divBdr>
    </w:div>
    <w:div w:id="1763404716">
      <w:bodyDiv w:val="1"/>
      <w:marLeft w:val="0"/>
      <w:marRight w:val="0"/>
      <w:marTop w:val="0"/>
      <w:marBottom w:val="0"/>
      <w:divBdr>
        <w:top w:val="none" w:sz="0" w:space="0" w:color="auto"/>
        <w:left w:val="none" w:sz="0" w:space="0" w:color="auto"/>
        <w:bottom w:val="none" w:sz="0" w:space="0" w:color="auto"/>
        <w:right w:val="none" w:sz="0" w:space="0" w:color="auto"/>
      </w:divBdr>
    </w:div>
    <w:div w:id="1767074420">
      <w:bodyDiv w:val="1"/>
      <w:marLeft w:val="0"/>
      <w:marRight w:val="0"/>
      <w:marTop w:val="0"/>
      <w:marBottom w:val="0"/>
      <w:divBdr>
        <w:top w:val="none" w:sz="0" w:space="0" w:color="auto"/>
        <w:left w:val="none" w:sz="0" w:space="0" w:color="auto"/>
        <w:bottom w:val="none" w:sz="0" w:space="0" w:color="auto"/>
        <w:right w:val="none" w:sz="0" w:space="0" w:color="auto"/>
      </w:divBdr>
    </w:div>
    <w:div w:id="1918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Musyoka</dc:creator>
  <cp:keywords/>
  <dc:description/>
  <cp:lastModifiedBy>Susan Musyoka</cp:lastModifiedBy>
  <cp:revision>2</cp:revision>
  <dcterms:created xsi:type="dcterms:W3CDTF">2025-05-22T12:52:00Z</dcterms:created>
  <dcterms:modified xsi:type="dcterms:W3CDTF">2025-05-22T12:52:00Z</dcterms:modified>
</cp:coreProperties>
</file>