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IFRS 17 Game - Client Rollout Plan and March 2026 Timeline</w:t>
      </w:r>
    </w:p>
    <w:p>
      <w:pPr>
        <w:jc w:val="center"/>
      </w:pPr>
      <w:r>
        <w:rPr>
          <w:sz w:val="24"/>
        </w:rPr>
        <w:t>Popularising IFRS17Game.com across KAFS client insurers + product enhancements</w:t>
      </w:r>
    </w:p>
    <w:p>
      <w:pPr>
        <w:jc w:val="center"/>
      </w:pPr>
      <w:r>
        <w:t>Prepared for: KAFS Leadership</w:t>
        <w:br/>
        <w:t>Prepared by: Robin &amp; Roseline</w:t>
        <w:br/>
        <w:t>Date: 20 Jan 2026</w:t>
      </w:r>
    </w:p>
    <w:p/>
    <w:p>
      <w:pPr>
        <w:pStyle w:val="Heading1"/>
      </w:pPr>
      <w:r>
        <w:t>Executive Summary</w:t>
      </w:r>
    </w:p>
    <w:p>
      <w:r>
        <w:t>This plan operationalises the CEO directive to (1) onboard ten KAFS client insurers onto IFRS17Game.com and (2) enhance the platform with an admin-managed question bank segmented into Standard, Tournament (Expert), and Non-technical/Beginner pathways, plus company-level leaderboards and email/certificate integration. The goal is to run repeatable, sponsor-led rollouts per insurer and close March with clear adoption evidence, engagement metrics, and a ready-to-scale playbook.</w:t>
      </w:r>
    </w:p>
    <w:p>
      <w:pPr>
        <w:pStyle w:val="Heading1"/>
      </w:pPr>
      <w:r>
        <w:t>Scope and Success Metrics</w:t>
      </w:r>
    </w:p>
    <w:p>
      <w:pPr>
        <w:pStyle w:val="ListBullet"/>
      </w:pPr>
      <w:r>
        <w:t>Client adoption: 10 insurers launched with a named sponsor, company code (or invite link) enabled, and at least one staff cohort onboarded.</w:t>
      </w:r>
    </w:p>
    <w:p>
      <w:pPr>
        <w:pStyle w:val="ListBullet"/>
      </w:pPr>
      <w:r>
        <w:t>Engagement: each launched insurer achieves a defined participation baseline (e.g., 30-200 users depending on size) and measurable activity (weekly active players, completion rates).</w:t>
      </w:r>
    </w:p>
    <w:p>
      <w:pPr>
        <w:pStyle w:val="ListBullet"/>
      </w:pPr>
      <w:r>
        <w:t>Product: admin question bank + segmentation, tournament-only questions workflow (AI draft + Leslie verification), company leaderboards, email and certificate automation.</w:t>
      </w:r>
    </w:p>
    <w:p>
      <w:pPr>
        <w:pStyle w:val="ListBullet"/>
      </w:pPr>
      <w:r>
        <w:t>Reporting: weekly snapshot to leadership covering participation, completion, average score, and top performers per company.</w:t>
      </w:r>
    </w:p>
    <w:p>
      <w:pPr>
        <w:pStyle w:val="Heading1"/>
      </w:pPr>
      <w:r>
        <w:t>Target Insurers</w:t>
      </w:r>
    </w:p>
    <w:p>
      <w:r>
        <w:t>Top 10 (as primary March targets):</w:t>
      </w:r>
    </w:p>
    <w:p>
      <w:pPr>
        <w:pStyle w:val="ListBullet"/>
      </w:pPr>
      <w:r>
        <w:t>Kenya Reinsurance Corporation HQ</w:t>
      </w:r>
    </w:p>
    <w:p>
      <w:pPr>
        <w:pStyle w:val="ListBullet"/>
      </w:pPr>
      <w:r>
        <w:t>Jubilee Health Insurance Limited</w:t>
      </w:r>
    </w:p>
    <w:p>
      <w:pPr>
        <w:pStyle w:val="ListBullet"/>
      </w:pPr>
      <w:r>
        <w:t>Intra Africa Insurance Company Limited</w:t>
      </w:r>
    </w:p>
    <w:p>
      <w:pPr>
        <w:pStyle w:val="ListBullet"/>
      </w:pPr>
      <w:r>
        <w:t>Monarch Life Insurance Company Limited</w:t>
      </w:r>
    </w:p>
    <w:p>
      <w:pPr>
        <w:pStyle w:val="ListBullet"/>
      </w:pPr>
      <w:r>
        <w:t>Pioneer Insurance Company Limited</w:t>
      </w:r>
    </w:p>
    <w:p>
      <w:pPr>
        <w:pStyle w:val="ListBullet"/>
      </w:pPr>
      <w:r>
        <w:t>BUPA Global Insurance Limited</w:t>
      </w:r>
    </w:p>
    <w:p>
      <w:pPr>
        <w:pStyle w:val="ListBullet"/>
      </w:pPr>
      <w:r>
        <w:t>Old Mutual General Insurance Kenya Limited</w:t>
      </w:r>
    </w:p>
    <w:p>
      <w:pPr>
        <w:pStyle w:val="ListBullet"/>
      </w:pPr>
      <w:r>
        <w:t>AAR Insurance Kenya</w:t>
      </w:r>
    </w:p>
    <w:p>
      <w:pPr>
        <w:pStyle w:val="ListBullet"/>
      </w:pPr>
      <w:r>
        <w:t>Geminia Insurance Company Limited - Life</w:t>
      </w:r>
    </w:p>
    <w:p>
      <w:pPr>
        <w:pStyle w:val="ListBullet"/>
      </w:pPr>
      <w:r>
        <w:t>Monarch General Insurance Company Limited</w:t>
      </w:r>
    </w:p>
    <w:p>
      <w:r>
        <w:t>Additional insurers (pipeline / optional if capacity allows):</w:t>
      </w:r>
    </w:p>
    <w:p>
      <w:pPr>
        <w:pStyle w:val="ListBullet"/>
      </w:pPr>
      <w:r>
        <w:t>Kenya Orient Insurance Company</w:t>
      </w:r>
    </w:p>
    <w:p>
      <w:pPr>
        <w:pStyle w:val="ListBullet"/>
      </w:pPr>
      <w:r>
        <w:t>Fidelity Shield Insurance Company Limited</w:t>
      </w:r>
    </w:p>
    <w:p>
      <w:pPr>
        <w:pStyle w:val="ListBullet"/>
      </w:pPr>
      <w:r>
        <w:t>The Heritage Insurance Company Limited</w:t>
      </w:r>
    </w:p>
    <w:p>
      <w:pPr>
        <w:pStyle w:val="ListBullet"/>
      </w:pPr>
      <w:r>
        <w:t>Alliance Insurance Limited</w:t>
      </w:r>
    </w:p>
    <w:p>
      <w:pPr>
        <w:pStyle w:val="Heading1"/>
      </w:pPr>
      <w:r>
        <w:t>Current Game Snapshot</w:t>
      </w:r>
    </w:p>
    <w:p>
      <w:r>
        <w:t>The current IFRS 17 Game user experience includes a module-based learning path, a live leaderboard, player scoring (score, streak, level, combo), a timed question flow, and sign-in/sign-up gating for locked modules. This existing structure is a strong base for a company rollout model (company codes, company-only boards) and differentiated question sets by audience.</w:t>
      </w:r>
    </w:p>
    <w:p>
      <w:pPr>
        <w:pStyle w:val="Heading1"/>
      </w:pPr>
      <w:r>
        <w:t>Product Enhancements - Requirements and Acceptance Criteria</w:t>
      </w:r>
    </w:p>
    <w:p>
      <w:pPr>
        <w:pStyle w:val="Heading2"/>
      </w:pPr>
      <w:r>
        <w:t>1. Admin Question Bank (Q&amp;A Database)</w:t>
      </w:r>
    </w:p>
    <w:p>
      <w:pPr>
        <w:pStyle w:val="ListBullet"/>
      </w:pPr>
      <w:r>
        <w:t>Key requirements:</w:t>
      </w:r>
    </w:p>
    <w:p>
      <w:pPr>
        <w:pStyle w:val="ListBullet2"/>
      </w:pPr>
      <w:r>
        <w:t>Admin can create, edit, archive questions and answers.</w:t>
      </w:r>
    </w:p>
    <w:p>
      <w:pPr>
        <w:pStyle w:val="ListBullet2"/>
      </w:pPr>
      <w:r>
        <w:t>Each question is tagged by: (a) level (Beginner/Standard/Expert), (b) module/topic, and (c) status (Draft/Approved/Archived).</w:t>
      </w:r>
    </w:p>
    <w:p>
      <w:pPr>
        <w:pStyle w:val="ListBullet2"/>
      </w:pPr>
      <w:r>
        <w:t>Bulk import/export (CSV/Excel) to accelerate population.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Admin portal lists questions with filters (level, module, status) and search.</w:t>
      </w:r>
    </w:p>
    <w:p>
      <w:pPr>
        <w:pStyle w:val="ListBullet2"/>
      </w:pPr>
      <w:r>
        <w:t>Only Approved questions appear in gameplay.</w:t>
      </w:r>
    </w:p>
    <w:p>
      <w:pPr>
        <w:pStyle w:val="Heading2"/>
      </w:pPr>
      <w:r>
        <w:t>2. Tournament-only Questions (Expert)</w:t>
      </w:r>
    </w:p>
    <w:p>
      <w:pPr>
        <w:pStyle w:val="ListBullet"/>
      </w:pPr>
      <w:r>
        <w:t>Key requirements:</w:t>
      </w:r>
    </w:p>
    <w:p>
      <w:pPr>
        <w:pStyle w:val="ListBullet2"/>
      </w:pPr>
      <w:r>
        <w:t>AI-assisted drafting of tournament questions into Draft status.</w:t>
      </w:r>
    </w:p>
    <w:p>
      <w:pPr>
        <w:pStyle w:val="ListBullet2"/>
      </w:pPr>
      <w:r>
        <w:t>Verification workflow where Leslie (or designated SME) approves questions/answers.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Tournament mode pulls only Approved Expert questions.</w:t>
      </w:r>
    </w:p>
    <w:p>
      <w:pPr>
        <w:pStyle w:val="ListBullet2"/>
      </w:pPr>
      <w:r>
        <w:t>Audit trail: who approved and when.</w:t>
      </w:r>
    </w:p>
    <w:p>
      <w:pPr>
        <w:pStyle w:val="Heading2"/>
      </w:pPr>
      <w:r>
        <w:t>3. Company-level Ranking (Company Leaderboards)</w:t>
      </w:r>
    </w:p>
    <w:p>
      <w:pPr>
        <w:pStyle w:val="ListBullet"/>
      </w:pPr>
      <w:r>
        <w:t>Key requirements:</w:t>
      </w:r>
    </w:p>
    <w:p>
      <w:pPr>
        <w:pStyle w:val="ListBullet2"/>
      </w:pPr>
      <w:r>
        <w:t>Each player is associated with a company (via company code, invite link, or admin assignment).</w:t>
      </w:r>
    </w:p>
    <w:p>
      <w:pPr>
        <w:pStyle w:val="ListBullet2"/>
      </w:pPr>
      <w:r>
        <w:t>Company-only leaderboard view, plus optional global leaderboard with filters.</w:t>
      </w:r>
    </w:p>
    <w:p>
      <w:pPr>
        <w:pStyle w:val="ListBullet2"/>
      </w:pPr>
      <w:r>
        <w:t>Support for non-technical question set for broader staff competitions.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Company leaderboard shows rank, score, and basic stats for that company only.</w:t>
      </w:r>
    </w:p>
    <w:p>
      <w:pPr>
        <w:pStyle w:val="ListBullet2"/>
      </w:pPr>
      <w:r>
        <w:t>Admin can create/manage companies and generate company codes/links.</w:t>
      </w:r>
    </w:p>
    <w:p>
      <w:pPr>
        <w:pStyle w:val="Heading2"/>
      </w:pPr>
      <w:r>
        <w:t>4. Email and Certificates Integration</w:t>
      </w:r>
    </w:p>
    <w:p>
      <w:pPr>
        <w:pStyle w:val="ListBullet"/>
      </w:pPr>
      <w:r>
        <w:t>Key requirements:</w:t>
      </w:r>
    </w:p>
    <w:p>
      <w:pPr>
        <w:pStyle w:val="ListBullet2"/>
      </w:pPr>
      <w:r>
        <w:t>Automated email notifications (welcome, reminders, completion).</w:t>
      </w:r>
    </w:p>
    <w:p>
      <w:pPr>
        <w:pStyle w:val="ListBullet2"/>
      </w:pPr>
      <w:r>
        <w:t>Certificate issuance triggered by completion and/or score threshold.</w:t>
      </w:r>
    </w:p>
    <w:p>
      <w:pPr>
        <w:pStyle w:val="ListBullet2"/>
      </w:pPr>
      <w:r>
        <w:t>Optional weekly sponsor summary email (participation and top performers).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Certificate can be generated and delivered reliably to player email.</w:t>
      </w:r>
    </w:p>
    <w:p>
      <w:pPr>
        <w:pStyle w:val="ListBullet2"/>
      </w:pPr>
      <w:r>
        <w:t>Basic email templates are configurable (branding, signatures).</w:t>
      </w:r>
    </w:p>
    <w:p>
      <w:pPr>
        <w:pStyle w:val="Heading1"/>
      </w:pPr>
      <w:r>
        <w:t>Question Bank Assessment (Sample File Review)</w:t>
      </w:r>
    </w:p>
    <w:p>
      <w:r>
        <w:t>The provided sample question file contains 217 questions across multiple IFRS 17 modules. Complexity distribution: Standard (118), Beginner (51), Expert (48). This is a good starting balance for a segmented game experience, but the rollout will benefit from (a) consistent module naming, (b) explicit topic tags (CSM, RA, PAA, LoA etc.), and (c) an approval workflow for Expert/Tournament content.</w:t>
      </w:r>
    </w:p>
    <w:p>
      <w:r>
        <w:t>Questions by module and complexity: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Module</w:t>
            </w:r>
          </w:p>
        </w:tc>
        <w:tc>
          <w:tcPr>
            <w:tcW w:type="dxa" w:w="2351"/>
          </w:tcPr>
          <w:p>
            <w:r>
              <w:t>Beginner</w:t>
            </w:r>
          </w:p>
        </w:tc>
        <w:tc>
          <w:tcPr>
            <w:tcW w:type="dxa" w:w="2351"/>
          </w:tcPr>
          <w:p>
            <w:r>
              <w:t>Standard</w:t>
            </w:r>
          </w:p>
        </w:tc>
        <w:tc>
          <w:tcPr>
            <w:tcW w:type="dxa" w:w="2351"/>
          </w:tcPr>
          <w:p>
            <w:r>
              <w:t>Expert</w:t>
            </w:r>
          </w:p>
        </w:tc>
      </w:tr>
      <w:tr>
        <w:tc>
          <w:tcPr>
            <w:tcW w:type="dxa" w:w="2351"/>
          </w:tcPr>
          <w:p>
            <w:r>
              <w:t>Combination &amp; Separation of Insurance Contracts</w:t>
            </w:r>
          </w:p>
        </w:tc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5</w:t>
            </w:r>
          </w:p>
        </w:tc>
      </w:tr>
      <w:tr>
        <w:tc>
          <w:tcPr>
            <w:tcW w:type="dxa" w:w="2351"/>
          </w:tcPr>
          <w:p>
            <w:r>
              <w:t>Discounting CSM and Risk Adjustment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2</w:t>
            </w:r>
          </w:p>
        </w:tc>
      </w:tr>
      <w:tr>
        <w:tc>
          <w:tcPr>
            <w:tcW w:type="dxa" w:w="2351"/>
          </w:tcPr>
          <w:p>
            <w:r>
              <w:t>IFRS 17 Fundamentals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  <w:tr>
        <w:tc>
          <w:tcPr>
            <w:tcW w:type="dxa" w:w="2351"/>
          </w:tcPr>
          <w:p>
            <w:r>
              <w:t>Insurance Finance Income or Expenses</w:t>
            </w:r>
          </w:p>
        </w:tc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8</w:t>
            </w:r>
          </w:p>
        </w:tc>
      </w:tr>
      <w:tr>
        <w:tc>
          <w:tcPr>
            <w:tcW w:type="dxa" w:w="2351"/>
          </w:tcPr>
          <w:p>
            <w:r>
              <w:t>Insurance Service Result</w:t>
            </w:r>
          </w:p>
        </w:tc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3</w:t>
            </w:r>
          </w:p>
        </w:tc>
      </w:tr>
      <w:tr>
        <w:tc>
          <w:tcPr>
            <w:tcW w:type="dxa" w:w="2351"/>
          </w:tcPr>
          <w:p>
            <w:r>
              <w:t>Investment Contracts with Discretionary Participation Features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3</w:t>
            </w:r>
          </w:p>
        </w:tc>
      </w:tr>
      <w:tr>
        <w:tc>
          <w:tcPr>
            <w:tcW w:type="dxa" w:w="2351"/>
          </w:tcPr>
          <w:p>
            <w:r>
              <w:t>Level of Aggregation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5</w:t>
            </w:r>
          </w:p>
        </w:tc>
      </w:tr>
      <w:tr>
        <w:tc>
          <w:tcPr>
            <w:tcW w:type="dxa" w:w="2351"/>
          </w:tcPr>
          <w:p>
            <w:r>
              <w:t>Measurement on Initial Recognition</w:t>
            </w:r>
          </w:p>
        </w:tc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2</w:t>
            </w:r>
          </w:p>
        </w:tc>
      </w:tr>
      <w:tr>
        <w:tc>
          <w:tcPr>
            <w:tcW w:type="dxa" w:w="2351"/>
          </w:tcPr>
          <w:p>
            <w:r>
              <w:t>Modification and Derecognition of Insurance Contracts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3</w:t>
            </w:r>
          </w:p>
        </w:tc>
      </w:tr>
      <w:tr>
        <w:tc>
          <w:tcPr>
            <w:tcW w:type="dxa" w:w="2351"/>
          </w:tcPr>
          <w:p>
            <w:r>
              <w:t>Onerous Contracts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3</w:t>
            </w:r>
          </w:p>
        </w:tc>
      </w:tr>
      <w:tr>
        <w:tc>
          <w:tcPr>
            <w:tcW w:type="dxa" w:w="2351"/>
          </w:tcPr>
          <w:p>
            <w:r>
              <w:t>Premium Allocation Approach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2</w:t>
            </w:r>
          </w:p>
        </w:tc>
      </w:tr>
      <w:tr>
        <w:tc>
          <w:tcPr>
            <w:tcW w:type="dxa" w:w="2351"/>
          </w:tcPr>
          <w:p>
            <w:r>
              <w:t>Presentation in the Statement of Financial Position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2</w:t>
            </w:r>
          </w:p>
        </w:tc>
      </w:tr>
      <w:tr>
        <w:tc>
          <w:tcPr>
            <w:tcW w:type="dxa" w:w="2351"/>
          </w:tcPr>
          <w:p>
            <w:r>
              <w:t>Recognition of Insurance Contracts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5</w:t>
            </w:r>
          </w:p>
        </w:tc>
      </w:tr>
      <w:tr>
        <w:tc>
          <w:tcPr>
            <w:tcW w:type="dxa" w:w="2351"/>
          </w:tcPr>
          <w:p>
            <w:r>
              <w:t>Reinsurance Contracts Held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2</w:t>
            </w:r>
          </w:p>
        </w:tc>
      </w:tr>
      <w:tr>
        <w:tc>
          <w:tcPr>
            <w:tcW w:type="dxa" w:w="2351"/>
          </w:tcPr>
          <w:p>
            <w:r>
              <w:t>Subsequent Measurement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3</w:t>
            </w:r>
          </w:p>
        </w:tc>
      </w:tr>
    </w:tbl>
    <w:p>
      <w:pPr>
        <w:pStyle w:val="ListBullet"/>
      </w:pPr>
      <w:r>
        <w:t>Recommendations to strengthen the question database:</w:t>
      </w:r>
    </w:p>
    <w:p>
      <w:pPr>
        <w:pStyle w:val="ListBullet2"/>
      </w:pPr>
      <w:r>
        <w:t>Enforce a unique question ID and track version history (important for tournament updates).</w:t>
      </w:r>
    </w:p>
    <w:p>
      <w:pPr>
        <w:pStyle w:val="ListBullet2"/>
      </w:pPr>
      <w:r>
        <w:t>Add fields: topic tag, difficulty (1-5), IFRS reference/paragraph (optional), and last reviewed date.</w:t>
      </w:r>
    </w:p>
    <w:p>
      <w:pPr>
        <w:pStyle w:val="ListBullet2"/>
      </w:pPr>
      <w:r>
        <w:t>Standardise module names to match the game UI exactly to avoid mapping issues.</w:t>
      </w:r>
    </w:p>
    <w:p>
      <w:pPr>
        <w:pStyle w:val="ListBullet2"/>
      </w:pPr>
      <w:r>
        <w:t>Adopt a Draft -&gt; Approved workflow, especially for Expert questions verified by Leslie.</w:t>
      </w:r>
    </w:p>
    <w:p>
      <w:pPr>
        <w:pStyle w:val="Heading1"/>
      </w:pPr>
      <w:r>
        <w:t>Client Rollout Tracker</w:t>
      </w:r>
    </w:p>
    <w:p>
      <w:r>
        <w:t>Use the tracker below to manage outreach, sponsor alignment, launch readiness, and post-launch reporting per insurer.</w:t>
      </w:r>
    </w:p>
    <w:p>
      <w:pPr>
        <w:pStyle w:val="ListBullet"/>
      </w:pPr>
      <w:r>
        <w:t>Status labels (suggested):</w:t>
      </w:r>
    </w:p>
    <w:p>
      <w:pPr>
        <w:pStyle w:val="ListBullet2"/>
      </w:pPr>
      <w:r>
        <w:t>Not Started</w:t>
      </w:r>
    </w:p>
    <w:p>
      <w:pPr>
        <w:pStyle w:val="ListBullet2"/>
      </w:pPr>
      <w:r>
        <w:t>Contact Identified</w:t>
      </w:r>
    </w:p>
    <w:p>
      <w:pPr>
        <w:pStyle w:val="ListBullet2"/>
      </w:pPr>
      <w:r>
        <w:t>Intro Sent</w:t>
      </w:r>
    </w:p>
    <w:p>
      <w:pPr>
        <w:pStyle w:val="ListBullet2"/>
      </w:pPr>
      <w:r>
        <w:t>Discovery Scheduled</w:t>
      </w:r>
    </w:p>
    <w:p>
      <w:pPr>
        <w:pStyle w:val="ListBullet2"/>
      </w:pPr>
      <w:r>
        <w:t>Discovery Done</w:t>
      </w:r>
    </w:p>
    <w:p>
      <w:pPr>
        <w:pStyle w:val="ListBullet2"/>
      </w:pPr>
      <w:r>
        <w:t>Launch Scheduled</w:t>
      </w:r>
    </w:p>
    <w:p>
      <w:pPr>
        <w:pStyle w:val="ListBullet2"/>
      </w:pPr>
      <w:r>
        <w:t>Launch Live</w:t>
      </w:r>
    </w:p>
    <w:p>
      <w:pPr>
        <w:pStyle w:val="ListBullet2"/>
      </w:pPr>
      <w:r>
        <w:t>In Progress</w:t>
      </w:r>
    </w:p>
    <w:p>
      <w:pPr>
        <w:pStyle w:val="ListBullet2"/>
      </w:pPr>
      <w:r>
        <w:t>Completed</w:t>
      </w:r>
    </w:p>
    <w:p>
      <w:pPr>
        <w:pStyle w:val="ListBullet2"/>
      </w:pPr>
      <w:r>
        <w:t>On 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t>Insurer</w:t>
            </w:r>
          </w:p>
        </w:tc>
        <w:tc>
          <w:tcPr>
            <w:tcW w:type="dxa" w:w="1045"/>
          </w:tcPr>
          <w:p>
            <w:r>
              <w:t>Primary Sponsor (Client)</w:t>
            </w:r>
          </w:p>
        </w:tc>
        <w:tc>
          <w:tcPr>
            <w:tcW w:type="dxa" w:w="1045"/>
          </w:tcPr>
          <w:p>
            <w:r>
              <w:t>KAFS Owner</w:t>
            </w:r>
          </w:p>
        </w:tc>
        <w:tc>
          <w:tcPr>
            <w:tcW w:type="dxa" w:w="1045"/>
          </w:tcPr>
          <w:p>
            <w:r>
              <w:t>Client Segment</w:t>
            </w:r>
          </w:p>
        </w:tc>
        <w:tc>
          <w:tcPr>
            <w:tcW w:type="dxa" w:w="1045"/>
          </w:tcPr>
          <w:p>
            <w:r>
              <w:t>Launch Format</w:t>
            </w:r>
          </w:p>
        </w:tc>
        <w:tc>
          <w:tcPr>
            <w:tcW w:type="dxa" w:w="1045"/>
          </w:tcPr>
          <w:p>
            <w:r>
              <w:t>Company Code / Board</w:t>
            </w:r>
          </w:p>
        </w:tc>
        <w:tc>
          <w:tcPr>
            <w:tcW w:type="dxa" w:w="1045"/>
          </w:tcPr>
          <w:p>
            <w:r>
              <w:t>Status</w:t>
            </w:r>
          </w:p>
        </w:tc>
        <w:tc>
          <w:tcPr>
            <w:tcW w:type="dxa" w:w="1045"/>
          </w:tcPr>
          <w:p>
            <w:r>
              <w:t>Next Action</w:t>
            </w:r>
          </w:p>
        </w:tc>
        <w:tc>
          <w:tcPr>
            <w:tcW w:type="dxa" w:w="1045"/>
          </w:tcPr>
          <w:p>
            <w:r>
              <w:t>Target Week (March)</w:t>
            </w:r>
          </w:p>
        </w:tc>
      </w:tr>
      <w:tr>
        <w:tc>
          <w:tcPr>
            <w:tcW w:type="dxa" w:w="1045"/>
          </w:tcPr>
          <w:p>
            <w:r>
              <w:t>Kenya Reinsurance Corporation HQ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IFRS 17 specialists + finance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Wk2</w:t>
            </w:r>
          </w:p>
        </w:tc>
      </w:tr>
      <w:tr>
        <w:tc>
          <w:tcPr>
            <w:tcW w:type="dxa" w:w="1045"/>
          </w:tcPr>
          <w:p>
            <w:r>
              <w:t>Jubilee Health Insurance Limited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Mixed (IFRS 17 + broader staff)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Wk2</w:t>
            </w:r>
          </w:p>
        </w:tc>
      </w:tr>
      <w:tr>
        <w:tc>
          <w:tcPr>
            <w:tcW w:type="dxa" w:w="1045"/>
          </w:tcPr>
          <w:p>
            <w:r>
              <w:t>Intra Africa Insurance Company Limited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Mixed (IFRS 17 + broader staff)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Wk3</w:t>
            </w:r>
          </w:p>
        </w:tc>
      </w:tr>
      <w:tr>
        <w:tc>
          <w:tcPr>
            <w:tcW w:type="dxa" w:w="1045"/>
          </w:tcPr>
          <w:p>
            <w:r>
              <w:t>Monarch Life Insurance Company Limited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IFRS 17 specialists + finance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Wk3</w:t>
            </w:r>
          </w:p>
        </w:tc>
      </w:tr>
      <w:tr>
        <w:tc>
          <w:tcPr>
            <w:tcW w:type="dxa" w:w="1045"/>
          </w:tcPr>
          <w:p>
            <w:r>
              <w:t>Pioneer Insurance Company Limited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Mixed (IFRS 17 + broader staff)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Wk3</w:t>
            </w:r>
          </w:p>
        </w:tc>
      </w:tr>
      <w:tr>
        <w:tc>
          <w:tcPr>
            <w:tcW w:type="dxa" w:w="1045"/>
          </w:tcPr>
          <w:p>
            <w:r>
              <w:t>BUPA Global Insurance Limited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Mixed (IFRS 17 + broader staff)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Wk4</w:t>
            </w:r>
          </w:p>
        </w:tc>
      </w:tr>
      <w:tr>
        <w:tc>
          <w:tcPr>
            <w:tcW w:type="dxa" w:w="1045"/>
          </w:tcPr>
          <w:p>
            <w:r>
              <w:t>Old Mutual General Insurance Kenya Limited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Mixed (IFRS 17 + broader staff)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Wk4</w:t>
            </w:r>
          </w:p>
        </w:tc>
      </w:tr>
      <w:tr>
        <w:tc>
          <w:tcPr>
            <w:tcW w:type="dxa" w:w="1045"/>
          </w:tcPr>
          <w:p>
            <w:r>
              <w:t>AAR Insurance Kenya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Mixed (IFRS 17 + broader staff)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Wk4</w:t>
            </w:r>
          </w:p>
        </w:tc>
      </w:tr>
      <w:tr>
        <w:tc>
          <w:tcPr>
            <w:tcW w:type="dxa" w:w="1045"/>
          </w:tcPr>
          <w:p>
            <w:r>
              <w:t>Geminia Insurance Company Limited - Life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IFRS 17 specialists + finance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Wk5</w:t>
            </w:r>
          </w:p>
        </w:tc>
      </w:tr>
      <w:tr>
        <w:tc>
          <w:tcPr>
            <w:tcW w:type="dxa" w:w="1045"/>
          </w:tcPr>
          <w:p>
            <w:r>
              <w:t>Monarch General Insurance Company Limited</w:t>
            </w:r>
          </w:p>
        </w:tc>
        <w:tc>
          <w:tcPr>
            <w:tcW w:type="dxa" w:w="1045"/>
          </w:tcPr>
          <w:p>
            <w:r/>
          </w:p>
        </w:tc>
        <w:tc>
          <w:tcPr>
            <w:tcW w:type="dxa" w:w="1045"/>
          </w:tcPr>
          <w:p>
            <w:r>
              <w:t>Roseline (Client) / Robin (Product)</w:t>
            </w:r>
          </w:p>
        </w:tc>
        <w:tc>
          <w:tcPr>
            <w:tcW w:type="dxa" w:w="1045"/>
          </w:tcPr>
          <w:p>
            <w:r>
              <w:t>Mixed (IFRS 17 + broader staff)</w:t>
            </w:r>
          </w:p>
        </w:tc>
        <w:tc>
          <w:tcPr>
            <w:tcW w:type="dxa" w:w="1045"/>
          </w:tcPr>
          <w:p>
            <w:r>
              <w:t>Guided (first cohort)</w:t>
            </w:r>
          </w:p>
        </w:tc>
        <w:tc>
          <w:tcPr>
            <w:tcW w:type="dxa" w:w="1045"/>
          </w:tcPr>
          <w:p>
            <w:r>
              <w:t>Required</w:t>
            </w:r>
          </w:p>
        </w:tc>
        <w:tc>
          <w:tcPr>
            <w:tcW w:type="dxa" w:w="1045"/>
          </w:tcPr>
          <w:p>
            <w:r>
              <w:t>Not Started</w:t>
            </w:r>
          </w:p>
        </w:tc>
        <w:tc>
          <w:tcPr>
            <w:tcW w:type="dxa" w:w="1045"/>
          </w:tcPr>
          <w:p>
            <w:r>
              <w:t>Identify sponsor; send intro; book 30-min demo</w:t>
            </w:r>
          </w:p>
        </w:tc>
        <w:tc>
          <w:tcPr>
            <w:tcW w:type="dxa" w:w="1045"/>
          </w:tcPr>
          <w:p>
            <w:r>
              <w:t>Wk5</w:t>
            </w:r>
          </w:p>
        </w:tc>
      </w:tr>
    </w:tbl>
    <w:p>
      <w:r>
        <w:t>Pipeline insurers (optional):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Insurer</w:t>
            </w:r>
          </w:p>
        </w:tc>
        <w:tc>
          <w:tcPr>
            <w:tcW w:type="dxa" w:w="2351"/>
          </w:tcPr>
          <w:p>
            <w:r>
              <w:t>KAFS Owner</w:t>
            </w:r>
          </w:p>
        </w:tc>
        <w:tc>
          <w:tcPr>
            <w:tcW w:type="dxa" w:w="2351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t>Notes</w:t>
            </w:r>
          </w:p>
        </w:tc>
      </w:tr>
      <w:tr>
        <w:tc>
          <w:tcPr>
            <w:tcW w:type="dxa" w:w="2351"/>
          </w:tcPr>
          <w:p>
            <w:r>
              <w:t>Kenya Orient Insurance Company</w:t>
            </w:r>
          </w:p>
        </w:tc>
        <w:tc>
          <w:tcPr>
            <w:tcW w:type="dxa" w:w="2351"/>
          </w:tcPr>
          <w:p>
            <w:r>
              <w:t>Roseline</w:t>
            </w:r>
          </w:p>
        </w:tc>
        <w:tc>
          <w:tcPr>
            <w:tcW w:type="dxa" w:w="2351"/>
          </w:tcPr>
          <w:p>
            <w:r>
              <w:t>Not Started</w:t>
            </w:r>
          </w:p>
        </w:tc>
        <w:tc>
          <w:tcPr>
            <w:tcW w:type="dxa" w:w="2351"/>
          </w:tcPr>
          <w:p>
            <w:r>
              <w:t>Add if capacity allows</w:t>
            </w:r>
          </w:p>
        </w:tc>
      </w:tr>
      <w:tr>
        <w:tc>
          <w:tcPr>
            <w:tcW w:type="dxa" w:w="2351"/>
          </w:tcPr>
          <w:p>
            <w:r>
              <w:t>Fidelity Shield Insurance Company Limited</w:t>
            </w:r>
          </w:p>
        </w:tc>
        <w:tc>
          <w:tcPr>
            <w:tcW w:type="dxa" w:w="2351"/>
          </w:tcPr>
          <w:p>
            <w:r>
              <w:t>Roseline</w:t>
            </w:r>
          </w:p>
        </w:tc>
        <w:tc>
          <w:tcPr>
            <w:tcW w:type="dxa" w:w="2351"/>
          </w:tcPr>
          <w:p>
            <w:r>
              <w:t>Not Started</w:t>
            </w:r>
          </w:p>
        </w:tc>
        <w:tc>
          <w:tcPr>
            <w:tcW w:type="dxa" w:w="2351"/>
          </w:tcPr>
          <w:p>
            <w:r>
              <w:t>Add if capacity allows</w:t>
            </w:r>
          </w:p>
        </w:tc>
      </w:tr>
      <w:tr>
        <w:tc>
          <w:tcPr>
            <w:tcW w:type="dxa" w:w="2351"/>
          </w:tcPr>
          <w:p>
            <w:r>
              <w:t>The Heritage Insurance Company Limited</w:t>
            </w:r>
          </w:p>
        </w:tc>
        <w:tc>
          <w:tcPr>
            <w:tcW w:type="dxa" w:w="2351"/>
          </w:tcPr>
          <w:p>
            <w:r>
              <w:t>Roseline</w:t>
            </w:r>
          </w:p>
        </w:tc>
        <w:tc>
          <w:tcPr>
            <w:tcW w:type="dxa" w:w="2351"/>
          </w:tcPr>
          <w:p>
            <w:r>
              <w:t>Not Started</w:t>
            </w:r>
          </w:p>
        </w:tc>
        <w:tc>
          <w:tcPr>
            <w:tcW w:type="dxa" w:w="2351"/>
          </w:tcPr>
          <w:p>
            <w:r>
              <w:t>Add if capacity allows</w:t>
            </w:r>
          </w:p>
        </w:tc>
      </w:tr>
      <w:tr>
        <w:tc>
          <w:tcPr>
            <w:tcW w:type="dxa" w:w="2351"/>
          </w:tcPr>
          <w:p>
            <w:r>
              <w:t>Alliance Insurance Limited</w:t>
            </w:r>
          </w:p>
        </w:tc>
        <w:tc>
          <w:tcPr>
            <w:tcW w:type="dxa" w:w="2351"/>
          </w:tcPr>
          <w:p>
            <w:r>
              <w:t>Roseline</w:t>
            </w:r>
          </w:p>
        </w:tc>
        <w:tc>
          <w:tcPr>
            <w:tcW w:type="dxa" w:w="2351"/>
          </w:tcPr>
          <w:p>
            <w:r>
              <w:t>Not Started</w:t>
            </w:r>
          </w:p>
        </w:tc>
        <w:tc>
          <w:tcPr>
            <w:tcW w:type="dxa" w:w="2351"/>
          </w:tcPr>
          <w:p>
            <w:r>
              <w:t>Add if capacity allows</w:t>
            </w:r>
          </w:p>
        </w:tc>
      </w:tr>
    </w:tbl>
    <w:p>
      <w:pPr>
        <w:pStyle w:val="Heading1"/>
      </w:pPr>
      <w:r>
        <w:t>Tight March 2026 Timeline (Week-by-Week)</w:t>
      </w:r>
    </w:p>
    <w:p>
      <w:r>
        <w:t>This timeline assumes prerequisite prep is completed by end-Feb (launch kit ready, company leaderboard feature in progress, and question bank import path confirmed). If any prerequisites slip, prioritise pilot launches while completing the remaining feature work in parallel.</w:t>
      </w:r>
    </w:p>
    <w:p>
      <w:pPr>
        <w:pStyle w:val="Heading2"/>
      </w:pPr>
      <w:r>
        <w:t>Pre-March prerequisites (complete by 28 Feb 2026):</w:t>
      </w:r>
    </w:p>
    <w:p>
      <w:pPr>
        <w:pStyle w:val="ListBullet"/>
      </w:pPr>
      <w:r>
        <w:t>Confirm the 10 target insurers and primary contacts per insurer.</w:t>
      </w:r>
    </w:p>
    <w:p>
      <w:pPr>
        <w:pStyle w:val="ListBullet"/>
      </w:pPr>
      <w:r>
        <w:t>Prepare the Client Launch Kit (1-pager, sponsor guide, staff invite email templates).</w:t>
      </w:r>
    </w:p>
    <w:p>
      <w:pPr>
        <w:pStyle w:val="ListBullet"/>
      </w:pPr>
      <w:r>
        <w:t>Create admin question bank import format; load the provided question set and validate mappings.</w:t>
      </w:r>
    </w:p>
    <w:p>
      <w:pPr>
        <w:pStyle w:val="ListBullet"/>
      </w:pPr>
      <w:r>
        <w:t>Define certificate trigger (completion and/or score threshold) and email templates.</w:t>
      </w:r>
    </w:p>
    <w:p>
      <w:pPr>
        <w:pStyle w:val="ListBullet"/>
      </w:pPr>
      <w:r>
        <w:t>Agree on company leaderboard design (company-only board + optional global filter).</w:t>
      </w:r>
    </w:p>
    <w:p>
      <w:pPr>
        <w:pStyle w:val="Heading2"/>
      </w:pPr>
      <w:r>
        <w:t>Week 1 (02 Mar 2026 - 08 Mar 2026)</w:t>
      </w:r>
    </w:p>
    <w:p>
      <w:pPr>
        <w:pStyle w:val="ListBullet"/>
      </w:pPr>
      <w:r>
        <w:t>Run outreach sprint: send intro to all 10 sponsors; secure discovery/demo meetings (30 minutes).</w:t>
      </w:r>
    </w:p>
    <w:p>
      <w:pPr>
        <w:pStyle w:val="ListBullet"/>
      </w:pPr>
      <w:r>
        <w:t>Finalize rollout mechanics: company codes/invite links; sponsor dashboard view; reporting template.</w:t>
      </w:r>
    </w:p>
    <w:p>
      <w:pPr>
        <w:pStyle w:val="ListBullet"/>
      </w:pPr>
      <w:r>
        <w:t>Lock pilot companies (2) and schedule launch windows.</w:t>
      </w:r>
    </w:p>
    <w:p>
      <w:pPr>
        <w:pStyle w:val="Heading2"/>
      </w:pPr>
      <w:r>
        <w:t>Week 2 (09 Mar 2026 - 15 Mar 2026)</w:t>
      </w:r>
    </w:p>
    <w:p>
      <w:pPr>
        <w:pStyle w:val="ListBullet"/>
      </w:pPr>
      <w:r>
        <w:t>Launch pilots (2 insurers): guided onboarding + 7-14 day challenge kickoff.</w:t>
      </w:r>
    </w:p>
    <w:p>
      <w:pPr>
        <w:pStyle w:val="ListBullet"/>
      </w:pPr>
      <w:r>
        <w:t>Collect early feedback (UI friction, question clarity, leaderboard expectations).</w:t>
      </w:r>
    </w:p>
    <w:p>
      <w:pPr>
        <w:pStyle w:val="ListBullet"/>
      </w:pPr>
      <w:r>
        <w:t>Leslie begins verification of Expert/Tournament question set; approve first batch.</w:t>
      </w:r>
    </w:p>
    <w:p>
      <w:pPr>
        <w:pStyle w:val="Heading2"/>
      </w:pPr>
      <w:r>
        <w:t>Week 3 (16 Mar 2026 - 22 Mar 2026)</w:t>
      </w:r>
    </w:p>
    <w:p>
      <w:pPr>
        <w:pStyle w:val="ListBullet"/>
      </w:pPr>
      <w:r>
        <w:t>Launch wave 1 (3 insurers): reuse playbook, automate comms, and track metrics.</w:t>
      </w:r>
    </w:p>
    <w:p>
      <w:pPr>
        <w:pStyle w:val="ListBullet"/>
      </w:pPr>
      <w:r>
        <w:t>Implement/enable company-only leaderboards for launched insurers.</w:t>
      </w:r>
    </w:p>
    <w:p>
      <w:pPr>
        <w:pStyle w:val="ListBullet"/>
      </w:pPr>
      <w:r>
        <w:t>Publish weekly sponsor summary emails for pilots + wave 1.</w:t>
      </w:r>
    </w:p>
    <w:p>
      <w:pPr>
        <w:pStyle w:val="Heading2"/>
      </w:pPr>
      <w:r>
        <w:t>Week 4 (23 Mar 2026 - 29 Mar 2026)</w:t>
      </w:r>
    </w:p>
    <w:p>
      <w:pPr>
        <w:pStyle w:val="ListBullet"/>
      </w:pPr>
      <w:r>
        <w:t>Launch wave 2 (3 insurers): continue cadence; address any support tickets within 24 hours.</w:t>
      </w:r>
    </w:p>
    <w:p>
      <w:pPr>
        <w:pStyle w:val="ListBullet"/>
      </w:pPr>
      <w:r>
        <w:t>Complete tournament workflow and enable tournament-only mode for IFRS 17 specialists where needed.</w:t>
      </w:r>
    </w:p>
    <w:p>
      <w:pPr>
        <w:pStyle w:val="ListBullet"/>
      </w:pPr>
      <w:r>
        <w:t>Mid-month leadership update: progress vs target and engagement metrics.</w:t>
      </w:r>
    </w:p>
    <w:p>
      <w:pPr>
        <w:pStyle w:val="Heading2"/>
      </w:pPr>
      <w:r>
        <w:t>Week 5 (30 Mar 2026 - 31 Mar 2026)</w:t>
      </w:r>
    </w:p>
    <w:p>
      <w:pPr>
        <w:pStyle w:val="ListBullet"/>
      </w:pPr>
      <w:r>
        <w:t>Launch final wave (2 insurers) and close out March reporting.</w:t>
      </w:r>
    </w:p>
    <w:p>
      <w:pPr>
        <w:pStyle w:val="ListBullet"/>
      </w:pPr>
      <w:r>
        <w:t>Produce final March pack: adoption evidence per insurer, engagement metrics, lessons learned, and April scale plan.</w:t>
      </w:r>
    </w:p>
    <w:p>
      <w:pPr>
        <w:pStyle w:val="ListBullet"/>
      </w:pPr>
      <w:r>
        <w:t>Confirm next quarter expansion targets (additional pipeline insurers).</w:t>
      </w:r>
    </w:p>
    <w:p>
      <w:pPr>
        <w:pStyle w:val="Heading1"/>
      </w:pPr>
      <w:r>
        <w:t>Governance and Weekly Cadence</w:t>
      </w:r>
    </w:p>
    <w:p>
      <w:pPr>
        <w:pStyle w:val="ListBullet"/>
      </w:pPr>
      <w:r>
        <w:t>Weekly 30-minute internal stand-up (Robin + Roseline + Leslie): track outreach, launches, blockers, and product items.</w:t>
      </w:r>
    </w:p>
    <w:p>
      <w:pPr>
        <w:pStyle w:val="ListBullet"/>
      </w:pPr>
      <w:r>
        <w:t>Weekly sponsor update email per launched insurer: participation, completion, and top performers.</w:t>
      </w:r>
    </w:p>
    <w:p>
      <w:pPr>
        <w:pStyle w:val="ListBullet"/>
      </w:pPr>
      <w:r>
        <w:t>Single source of truth tracker (shared sheet) updated daily during March.</w:t>
      </w:r>
    </w:p>
    <w:p>
      <w:pPr>
        <w:pStyle w:val="ListBullet"/>
      </w:pPr>
      <w:r>
        <w:t>Escalation path: Roseline -&gt; Robin -&gt; CEO sponsor for non-responsive clients or decision delays.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