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7E2E6">
      <w:pPr>
        <w:spacing w:after="200"/>
        <w:rPr>
          <w:rFonts w:hint="eastAsia" w:ascii="Arial" w:hAnsi="Arial" w:eastAsia="宋体" w:cs="Arial"/>
          <w:b/>
          <w:bCs/>
          <w:color w:val="1E3A5F"/>
          <w:spacing w:val="120"/>
          <w:sz w:val="52"/>
          <w:szCs w:val="52"/>
          <w:lang w:val="en-US" w:eastAsia="zh-CN"/>
        </w:rPr>
      </w:pPr>
      <w:bookmarkStart w:id="0" w:name="_GoBack"/>
      <w:r>
        <w:rPr>
          <w:rFonts w:hint="eastAsia" w:ascii="Arial" w:hAnsi="Arial" w:eastAsia="宋体" w:cs="Arial"/>
          <w:b/>
          <w:bCs/>
          <w:color w:val="1E3A5F"/>
          <w:spacing w:val="120"/>
          <w:sz w:val="52"/>
          <w:szCs w:val="52"/>
          <w:lang w:val="en-US" w:eastAsia="zh-CN"/>
        </w:rPr>
        <w:t>刘妍</w:t>
      </w:r>
    </w:p>
    <w:p w14:paraId="25E824A7">
      <w:pPr>
        <w:spacing w:after="200"/>
      </w:pPr>
      <w:r>
        <w:rPr>
          <w:rFonts w:ascii="Arial" w:hAnsi="Arial" w:eastAsia="Arial" w:cs="Arial"/>
          <w:color w:val="D4AF37"/>
          <w:spacing w:val="40"/>
          <w:sz w:val="26"/>
          <w:szCs w:val="26"/>
        </w:rPr>
        <w:t>团队经理  |  银行信用卡业务管理</w:t>
      </w:r>
    </w:p>
    <w:p w14:paraId="527CFFA0">
      <w:pPr>
        <w:spacing w:after="360"/>
      </w:pPr>
      <w:r>
        <w:rPr>
          <w:rFonts w:ascii="Arial" w:hAnsi="Arial" w:eastAsia="Arial" w:cs="Arial"/>
          <w:color w:val="7F8C8D"/>
          <w:sz w:val="20"/>
          <w:szCs w:val="20"/>
        </w:rPr>
        <w:t>1</w:t>
      </w:r>
      <w:r>
        <w:rPr>
          <w:rFonts w:hint="eastAsia" w:ascii="Arial" w:hAnsi="Arial" w:eastAsia="宋体" w:cs="Arial"/>
          <w:color w:val="7F8C8D"/>
          <w:sz w:val="20"/>
          <w:szCs w:val="20"/>
          <w:lang w:val="en-US" w:eastAsia="zh-CN"/>
        </w:rPr>
        <w:t>73</w:t>
      </w:r>
      <w:r>
        <w:rPr>
          <w:rFonts w:ascii="Arial" w:hAnsi="Arial" w:eastAsia="Arial" w:cs="Arial"/>
          <w:color w:val="7F8C8D"/>
          <w:sz w:val="20"/>
          <w:szCs w:val="20"/>
        </w:rPr>
        <w:t>-</w:t>
      </w:r>
      <w:r>
        <w:rPr>
          <w:rFonts w:hint="eastAsia" w:ascii="Arial" w:hAnsi="Arial" w:eastAsia="宋体" w:cs="Arial"/>
          <w:color w:val="7F8C8D"/>
          <w:sz w:val="20"/>
          <w:szCs w:val="20"/>
          <w:lang w:val="en-US" w:eastAsia="zh-CN"/>
        </w:rPr>
        <w:t>1756</w:t>
      </w:r>
      <w:r>
        <w:rPr>
          <w:rFonts w:ascii="Arial" w:hAnsi="Arial" w:eastAsia="Arial" w:cs="Arial"/>
          <w:color w:val="7F8C8D"/>
          <w:sz w:val="20"/>
          <w:szCs w:val="20"/>
        </w:rPr>
        <w:t>-</w:t>
      </w:r>
      <w:r>
        <w:rPr>
          <w:rFonts w:hint="eastAsia" w:ascii="Arial" w:hAnsi="Arial" w:eastAsia="宋体" w:cs="Arial"/>
          <w:color w:val="7F8C8D"/>
          <w:sz w:val="20"/>
          <w:szCs w:val="20"/>
          <w:lang w:val="en-US" w:eastAsia="zh-CN"/>
        </w:rPr>
        <w:t>4490</w:t>
      </w:r>
      <w:r>
        <w:rPr>
          <w:color w:val="D4AF37"/>
          <w:sz w:val="20"/>
          <w:szCs w:val="20"/>
        </w:rPr>
        <w:t xml:space="preserve">  |   </w:t>
      </w:r>
      <w:r>
        <w:rPr>
          <w:rFonts w:hint="eastAsia" w:ascii="Arial" w:hAnsi="Arial" w:eastAsia="宋体" w:cs="Arial"/>
          <w:color w:val="7F8C8D"/>
          <w:sz w:val="20"/>
          <w:szCs w:val="20"/>
          <w:lang w:val="en-US" w:eastAsia="zh-CN"/>
        </w:rPr>
        <w:t>565262800</w:t>
      </w:r>
      <w:r>
        <w:rPr>
          <w:rFonts w:ascii="Arial" w:hAnsi="Arial" w:eastAsia="Arial" w:cs="Arial"/>
          <w:color w:val="7F8C8D"/>
          <w:sz w:val="20"/>
          <w:szCs w:val="20"/>
        </w:rPr>
        <w:t>@</w:t>
      </w:r>
      <w:r>
        <w:rPr>
          <w:rFonts w:hint="eastAsia" w:ascii="Arial" w:hAnsi="Arial" w:eastAsia="宋体" w:cs="Arial"/>
          <w:color w:val="7F8C8D"/>
          <w:sz w:val="20"/>
          <w:szCs w:val="20"/>
          <w:lang w:val="en-US" w:eastAsia="zh-CN"/>
        </w:rPr>
        <w:t>qq</w:t>
      </w:r>
      <w:r>
        <w:rPr>
          <w:rFonts w:ascii="Arial" w:hAnsi="Arial" w:eastAsia="Arial" w:cs="Arial"/>
          <w:color w:val="7F8C8D"/>
          <w:sz w:val="20"/>
          <w:szCs w:val="20"/>
        </w:rPr>
        <w:t>.com</w:t>
      </w:r>
      <w:r>
        <w:rPr>
          <w:color w:val="D4AF37"/>
          <w:sz w:val="20"/>
          <w:szCs w:val="20"/>
        </w:rPr>
        <w:t xml:space="preserve">   </w:t>
      </w:r>
    </w:p>
    <w:p w14:paraId="1B442CA8">
      <w:pPr>
        <w:pBdr>
          <w:bottom w:val="none" w:color="D4AF37" w:sz="6" w:space="4"/>
        </w:pBdr>
        <w:spacing w:before="360" w:after="24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职业概述  PROFESSIONAL SUMMARY</w:t>
      </w:r>
    </w:p>
    <w:p w14:paraId="629FBC08">
      <w:pPr>
        <w:spacing w:after="360"/>
        <w:ind w:left="144"/>
      </w:pPr>
      <w:r>
        <w:rPr>
          <w:rFonts w:ascii="Arial" w:hAnsi="Arial" w:eastAsia="Arial" w:cs="Arial"/>
          <w:color w:val="2C3E50"/>
          <w:sz w:val="21"/>
          <w:szCs w:val="21"/>
        </w:rPr>
        <w:t>资深银行信用卡业务管理专家，拥有8年以上银行金融风控及信用卡业务运营经验，具备大型团队统筹管理能力。独立管理150人以上业务团队，擅长团队精细化运营、业绩指标管控、人才梯队搭建、风险合规管理及业务产能优化。在交通银行信用卡中心任职期间，带领团队实现业绩持续增长，风险控制指标优良，团队人效提升显著，多次获得行内优秀管理奖项。精通银行信用卡业务全流程管理，熟悉监管政策与合规要求，具备出色的战略执行力与团队领导力。</w:t>
      </w:r>
    </w:p>
    <w:p w14:paraId="306518CF">
      <w:pPr>
        <w:pBdr>
          <w:bottom w:val="none" w:color="D4AF37" w:sz="6" w:space="4"/>
        </w:pBdr>
        <w:spacing w:before="360" w:after="24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核心技能  CORE COMPETENCIES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763B8A85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411DF025">
            <w:pPr>
              <w:spacing w:after="60"/>
            </w:pPr>
            <w:r>
              <w:rPr>
                <w:color w:val="2C3E50"/>
                <w:sz w:val="21"/>
                <w:szCs w:val="21"/>
              </w:rPr>
              <w:t>■  大型团队统筹管理（150人+）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09B4E7E7">
            <w:pPr>
              <w:spacing w:after="60"/>
            </w:pPr>
            <w:r>
              <w:rPr>
                <w:color w:val="2C3E50"/>
                <w:sz w:val="21"/>
                <w:szCs w:val="21"/>
              </w:rPr>
              <w:t>■  信用卡业务全流程运营</w:t>
            </w:r>
          </w:p>
        </w:tc>
      </w:tr>
      <w:tr w14:paraId="463A74E1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4F2FBE7E">
            <w:pPr>
              <w:spacing w:after="60"/>
            </w:pPr>
            <w:r>
              <w:rPr>
                <w:color w:val="2C3E50"/>
                <w:sz w:val="21"/>
                <w:szCs w:val="21"/>
              </w:rPr>
              <w:t>■  业绩指标拆解与达成管控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1EDB0487">
            <w:pPr>
              <w:spacing w:after="60"/>
            </w:pPr>
            <w:r>
              <w:rPr>
                <w:color w:val="2C3E50"/>
                <w:sz w:val="21"/>
                <w:szCs w:val="21"/>
              </w:rPr>
              <w:t>■  风险合规管理体系建设</w:t>
            </w:r>
          </w:p>
        </w:tc>
      </w:tr>
      <w:tr w14:paraId="7C06D0A0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5E99F3DB">
            <w:pPr>
              <w:spacing w:after="60"/>
            </w:pPr>
            <w:r>
              <w:rPr>
                <w:color w:val="2C3E50"/>
                <w:sz w:val="21"/>
                <w:szCs w:val="21"/>
              </w:rPr>
              <w:t>■  人才梯队搭建与培养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0FB2431F">
            <w:pPr>
              <w:spacing w:after="60"/>
            </w:pPr>
            <w:r>
              <w:rPr>
                <w:color w:val="2C3E50"/>
                <w:sz w:val="21"/>
                <w:szCs w:val="21"/>
              </w:rPr>
              <w:t>■  业务产能优化与人效提升</w:t>
            </w:r>
          </w:p>
        </w:tc>
      </w:tr>
      <w:tr w14:paraId="7B55D005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30062BC7">
            <w:pPr>
              <w:spacing w:after="60"/>
            </w:pPr>
            <w:r>
              <w:rPr>
                <w:color w:val="2C3E50"/>
                <w:sz w:val="21"/>
                <w:szCs w:val="21"/>
              </w:rPr>
              <w:t>■  客户体验管理与投诉处理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5127542B">
            <w:pPr>
              <w:spacing w:after="60"/>
            </w:pPr>
            <w:r>
              <w:rPr>
                <w:color w:val="2C3E50"/>
                <w:sz w:val="21"/>
                <w:szCs w:val="21"/>
              </w:rPr>
              <w:t>■  跨部门协作与资源整合</w:t>
            </w:r>
          </w:p>
        </w:tc>
      </w:tr>
    </w:tbl>
    <w:p w14:paraId="45C7E890">
      <w:pPr>
        <w:spacing w:after="200"/>
      </w:pPr>
    </w:p>
    <w:p w14:paraId="505A9B96">
      <w:pPr>
        <w:pBdr>
          <w:bottom w:val="none" w:color="D4AF37" w:sz="6" w:space="4"/>
        </w:pBdr>
        <w:spacing w:before="360" w:after="24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工作经历  WORK EXPERIENCE</w:t>
      </w:r>
    </w:p>
    <w:p w14:paraId="79FE070F">
      <w:pPr>
        <w:spacing w:after="40"/>
        <w:rPr>
          <w:rFonts w:hint="default" w:eastAsia="宋体"/>
          <w:lang w:val="en-US" w:eastAsia="zh-CN"/>
        </w:rPr>
      </w:pPr>
      <w:r>
        <w:rPr>
          <w:rFonts w:hint="eastAsia" w:ascii="Arial" w:hAnsi="Arial" w:eastAsia="宋体" w:cs="Arial"/>
          <w:b/>
          <w:bCs/>
          <w:color w:val="1E3A5F"/>
          <w:sz w:val="24"/>
          <w:szCs w:val="24"/>
          <w:lang w:val="en-US" w:eastAsia="zh-CN"/>
        </w:rPr>
        <w:t>客服储备管理干部</w:t>
      </w:r>
    </w:p>
    <w:p w14:paraId="4D269D73">
      <w:pPr>
        <w:spacing w:after="120"/>
        <w:rPr>
          <w:rFonts w:hint="default" w:eastAsia="宋体"/>
          <w:lang w:val="en-US" w:eastAsia="zh-CN"/>
        </w:rPr>
      </w:pPr>
      <w:r>
        <w:rPr>
          <w:rFonts w:hint="eastAsia" w:ascii="Arial" w:hAnsi="Arial" w:eastAsia="宋体" w:cs="Arial"/>
          <w:color w:val="2C5282"/>
          <w:sz w:val="21"/>
          <w:szCs w:val="21"/>
          <w:lang w:val="en-US" w:eastAsia="zh-CN"/>
        </w:rPr>
        <w:t>汇通金融服</w:t>
      </w:r>
      <w:r>
        <w:rPr>
          <w:color w:val="7F8C8D"/>
          <w:sz w:val="21"/>
          <w:szCs w:val="21"/>
        </w:rPr>
        <w:t xml:space="preserve">    |    </w:t>
      </w:r>
      <w:r>
        <w:rPr>
          <w:rFonts w:ascii="Arial" w:hAnsi="Arial" w:eastAsia="Arial" w:cs="Arial"/>
          <w:color w:val="7F8C8D"/>
          <w:sz w:val="21"/>
          <w:szCs w:val="21"/>
        </w:rPr>
        <w:t>20</w:t>
      </w:r>
      <w:r>
        <w:rPr>
          <w:rFonts w:hint="eastAsia" w:ascii="Arial" w:hAnsi="Arial" w:eastAsia="宋体" w:cs="Arial"/>
          <w:color w:val="7F8C8D"/>
          <w:sz w:val="21"/>
          <w:szCs w:val="21"/>
          <w:lang w:val="en-US" w:eastAsia="zh-CN"/>
        </w:rPr>
        <w:t>15</w:t>
      </w:r>
      <w:r>
        <w:rPr>
          <w:rFonts w:ascii="Arial" w:hAnsi="Arial" w:eastAsia="Arial" w:cs="Arial"/>
          <w:color w:val="7F8C8D"/>
          <w:sz w:val="21"/>
          <w:szCs w:val="21"/>
        </w:rPr>
        <w:t>.</w:t>
      </w:r>
      <w:r>
        <w:rPr>
          <w:rFonts w:hint="eastAsia" w:ascii="Arial" w:hAnsi="Arial" w:eastAsia="宋体" w:cs="Arial"/>
          <w:color w:val="7F8C8D"/>
          <w:sz w:val="21"/>
          <w:szCs w:val="21"/>
          <w:lang w:val="en-US" w:eastAsia="zh-CN"/>
        </w:rPr>
        <w:t>6</w:t>
      </w:r>
      <w:r>
        <w:rPr>
          <w:rFonts w:ascii="Arial" w:hAnsi="Arial" w:eastAsia="Arial" w:cs="Arial"/>
          <w:color w:val="7F8C8D"/>
          <w:sz w:val="21"/>
          <w:szCs w:val="21"/>
        </w:rPr>
        <w:t xml:space="preserve">- </w:t>
      </w:r>
      <w:r>
        <w:rPr>
          <w:rFonts w:hint="eastAsia" w:ascii="Arial" w:hAnsi="Arial" w:eastAsia="宋体" w:cs="Arial"/>
          <w:color w:val="7F8C8D"/>
          <w:sz w:val="21"/>
          <w:szCs w:val="21"/>
          <w:lang w:val="en-US" w:eastAsia="zh-CN"/>
        </w:rPr>
        <w:t>2017.10</w:t>
      </w:r>
    </w:p>
    <w:p w14:paraId="033B6895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独立管理150人以上信用卡业务团队，负责团队日常运营、业绩达成、人员管理及风险控制</w:t>
      </w:r>
    </w:p>
    <w:p w14:paraId="72E71EDF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制定并执行团队年度业务规划，分解KPI指标至各业务单元，确保月度、季度、年度目标100%达成</w:t>
      </w:r>
    </w:p>
    <w:p w14:paraId="31F44BDD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建立完善的团队管理体系，包括绩效考核、激励机制、培训体系及晋升通道，团队人效提升35%</w:t>
      </w:r>
    </w:p>
    <w:p w14:paraId="23C84756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主导风险合规管理，建立事前预防、事中监控、事后复盘的全流程风控机制，不良率控制在行业优秀水平</w:t>
      </w:r>
    </w:p>
    <w:p w14:paraId="19140B39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搭建三级人才梯队，培养储备主管12人，团队骨干流失率控制在8%以下，远低于行业平均水平</w:t>
      </w:r>
    </w:p>
    <w:p w14:paraId="4ACD6235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优化业务流程，推行标准化作业体系，业务处理效率提升40%，客户满意度提升至98.5%</w:t>
      </w:r>
    </w:p>
    <w:p w14:paraId="2F58713D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负责团队合规培训与监管对接，确保业务操作符合银保监会及行内各项合规要求，零重大合规风险事件</w:t>
      </w:r>
    </w:p>
    <w:p w14:paraId="2A76B8AC">
      <w:pPr>
        <w:spacing w:after="200"/>
      </w:pPr>
    </w:p>
    <w:p w14:paraId="52B89375">
      <w:pPr>
        <w:spacing w:after="40"/>
      </w:pPr>
      <w:r>
        <w:rPr>
          <w:rFonts w:hint="eastAsia" w:ascii="Arial" w:hAnsi="Arial" w:eastAsia="宋体" w:cs="Arial"/>
          <w:b/>
          <w:bCs/>
          <w:color w:val="1E3A5F"/>
          <w:sz w:val="24"/>
          <w:szCs w:val="24"/>
          <w:lang w:val="en-US" w:eastAsia="zh-CN"/>
        </w:rPr>
        <w:t>电销</w:t>
      </w:r>
      <w:r>
        <w:rPr>
          <w:rFonts w:ascii="Arial" w:hAnsi="Arial" w:eastAsia="Arial" w:cs="Arial"/>
          <w:b/>
          <w:bCs/>
          <w:color w:val="1E3A5F"/>
          <w:sz w:val="24"/>
          <w:szCs w:val="24"/>
        </w:rPr>
        <w:t>业务主管</w:t>
      </w:r>
    </w:p>
    <w:p w14:paraId="5451D24D">
      <w:pPr>
        <w:spacing w:after="120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color w:val="2C5282"/>
          <w:sz w:val="21"/>
          <w:szCs w:val="21"/>
        </w:rPr>
        <w:t>交通银行信用卡中心</w:t>
      </w:r>
      <w:r>
        <w:rPr>
          <w:color w:val="7F8C8D"/>
          <w:sz w:val="21"/>
          <w:szCs w:val="21"/>
        </w:rPr>
        <w:t xml:space="preserve">    |    </w:t>
      </w:r>
      <w:r>
        <w:rPr>
          <w:rFonts w:ascii="Arial" w:hAnsi="Arial" w:eastAsia="Arial" w:cs="Arial"/>
          <w:color w:val="7F8C8D"/>
          <w:sz w:val="21"/>
          <w:szCs w:val="21"/>
        </w:rPr>
        <w:t>201</w:t>
      </w:r>
      <w:r>
        <w:rPr>
          <w:rFonts w:hint="eastAsia" w:ascii="Arial" w:hAnsi="Arial" w:eastAsia="宋体" w:cs="Arial"/>
          <w:color w:val="7F8C8D"/>
          <w:sz w:val="21"/>
          <w:szCs w:val="21"/>
          <w:lang w:val="en-US" w:eastAsia="zh-CN"/>
        </w:rPr>
        <w:t>8</w:t>
      </w:r>
      <w:r>
        <w:rPr>
          <w:rFonts w:ascii="Arial" w:hAnsi="Arial" w:eastAsia="Arial" w:cs="Arial"/>
          <w:color w:val="7F8C8D"/>
          <w:sz w:val="21"/>
          <w:szCs w:val="21"/>
        </w:rPr>
        <w:t>.0</w:t>
      </w:r>
      <w:r>
        <w:rPr>
          <w:rFonts w:hint="eastAsia" w:ascii="Arial" w:hAnsi="Arial" w:eastAsia="宋体" w:cs="Arial"/>
          <w:color w:val="7F8C8D"/>
          <w:sz w:val="21"/>
          <w:szCs w:val="21"/>
          <w:lang w:val="en-US" w:eastAsia="zh-CN"/>
        </w:rPr>
        <w:t>9</w:t>
      </w:r>
      <w:r>
        <w:rPr>
          <w:rFonts w:ascii="Arial" w:hAnsi="Arial" w:eastAsia="Arial" w:cs="Arial"/>
          <w:color w:val="7F8C8D"/>
          <w:sz w:val="21"/>
          <w:szCs w:val="21"/>
        </w:rPr>
        <w:t xml:space="preserve"> - 202</w:t>
      </w:r>
      <w:r>
        <w:rPr>
          <w:rFonts w:hint="eastAsia" w:ascii="Arial" w:hAnsi="Arial" w:eastAsia="宋体" w:cs="Arial"/>
          <w:color w:val="7F8C8D"/>
          <w:sz w:val="21"/>
          <w:szCs w:val="21"/>
          <w:lang w:val="en-US" w:eastAsia="zh-CN"/>
        </w:rPr>
        <w:t>2</w:t>
      </w:r>
      <w:r>
        <w:rPr>
          <w:rFonts w:ascii="Arial" w:hAnsi="Arial" w:eastAsia="Arial" w:cs="Arial"/>
          <w:color w:val="7F8C8D"/>
          <w:sz w:val="21"/>
          <w:szCs w:val="21"/>
        </w:rPr>
        <w:t>.0</w:t>
      </w:r>
      <w:r>
        <w:rPr>
          <w:rFonts w:hint="eastAsia" w:ascii="Arial" w:hAnsi="Arial" w:eastAsia="宋体" w:cs="Arial"/>
          <w:color w:val="7F8C8D"/>
          <w:sz w:val="21"/>
          <w:szCs w:val="21"/>
          <w:lang w:val="en-US" w:eastAsia="zh-CN"/>
        </w:rPr>
        <w:t>3</w:t>
      </w:r>
    </w:p>
    <w:p w14:paraId="173F9639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负责50人业务团队日常管理，统筹信用卡营销推广、客户服务及风险管控工作</w:t>
      </w:r>
    </w:p>
    <w:p w14:paraId="590E5277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制定团队业务策略，带领团队连续12个月超额完成业绩指标，季度业绩达成率120%+</w:t>
      </w:r>
    </w:p>
    <w:p w14:paraId="669EB444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建立客户分层管理体系，针对高价值客户制定专属服务方案，客户留存率提升25%</w:t>
      </w:r>
    </w:p>
    <w:p w14:paraId="0AAD3B38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主导团队技能培训项目，设计系统化培训课程，团队成员业务考核通过率提升至95%</w:t>
      </w:r>
    </w:p>
    <w:p w14:paraId="3454018C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协助部门经理进行团队管理，参与制定部门年度业务规划及管理制度优化</w:t>
      </w:r>
    </w:p>
    <w:p w14:paraId="21153FFE">
      <w:pPr>
        <w:spacing w:after="200"/>
      </w:pPr>
    </w:p>
    <w:p w14:paraId="16F6F45F">
      <w:pPr>
        <w:spacing w:after="40"/>
        <w:rPr>
          <w:rFonts w:hint="default" w:eastAsia="宋体"/>
          <w:lang w:val="en-US" w:eastAsia="zh-CN"/>
        </w:rPr>
      </w:pPr>
      <w:r>
        <w:rPr>
          <w:rFonts w:hint="eastAsia" w:ascii="Arial" w:hAnsi="Arial" w:eastAsia="宋体" w:cs="Arial"/>
          <w:b/>
          <w:bCs/>
          <w:color w:val="1E3A5F"/>
          <w:sz w:val="24"/>
          <w:szCs w:val="24"/>
          <w:lang w:val="en-US" w:eastAsia="zh-CN"/>
        </w:rPr>
        <w:t>电销团队经理</w:t>
      </w:r>
    </w:p>
    <w:p w14:paraId="3E4EA265">
      <w:pPr>
        <w:spacing w:after="120"/>
        <w:rPr>
          <w:rFonts w:hint="default"/>
          <w:lang w:val="en-US"/>
        </w:rPr>
      </w:pPr>
      <w:r>
        <w:rPr>
          <w:rFonts w:ascii="Arial" w:hAnsi="Arial" w:eastAsia="Arial" w:cs="Arial"/>
          <w:color w:val="2C5282"/>
          <w:sz w:val="21"/>
          <w:szCs w:val="21"/>
        </w:rPr>
        <w:t>交通银行</w:t>
      </w:r>
      <w:r>
        <w:rPr>
          <w:rFonts w:hint="eastAsia" w:ascii="Arial" w:hAnsi="Arial" w:eastAsia="宋体" w:cs="Arial"/>
          <w:color w:val="2C5282"/>
          <w:sz w:val="21"/>
          <w:szCs w:val="21"/>
          <w:lang w:val="en-US" w:eastAsia="zh-CN"/>
        </w:rPr>
        <w:t>信用卡中心/数智化中心</w:t>
      </w:r>
      <w:r>
        <w:rPr>
          <w:color w:val="7F8C8D"/>
          <w:sz w:val="21"/>
          <w:szCs w:val="21"/>
        </w:rPr>
        <w:t xml:space="preserve">    |    </w:t>
      </w:r>
      <w:r>
        <w:rPr>
          <w:rFonts w:ascii="Arial" w:hAnsi="Arial" w:eastAsia="Arial" w:cs="Arial"/>
          <w:color w:val="7F8C8D"/>
          <w:sz w:val="21"/>
          <w:szCs w:val="21"/>
        </w:rPr>
        <w:t>20</w:t>
      </w:r>
      <w:r>
        <w:rPr>
          <w:rFonts w:hint="eastAsia" w:ascii="Arial" w:hAnsi="Arial" w:eastAsia="宋体" w:cs="Arial"/>
          <w:color w:val="7F8C8D"/>
          <w:sz w:val="21"/>
          <w:szCs w:val="21"/>
          <w:lang w:val="en-US" w:eastAsia="zh-CN"/>
        </w:rPr>
        <w:t>22</w:t>
      </w:r>
      <w:r>
        <w:rPr>
          <w:rFonts w:ascii="Arial" w:hAnsi="Arial" w:eastAsia="Arial" w:cs="Arial"/>
          <w:color w:val="7F8C8D"/>
          <w:sz w:val="21"/>
          <w:szCs w:val="21"/>
        </w:rPr>
        <w:t>.</w:t>
      </w:r>
      <w:r>
        <w:rPr>
          <w:rFonts w:hint="eastAsia" w:ascii="Arial" w:hAnsi="Arial" w:eastAsia="宋体" w:cs="Arial"/>
          <w:color w:val="7F8C8D"/>
          <w:sz w:val="21"/>
          <w:szCs w:val="21"/>
          <w:lang w:val="en-US" w:eastAsia="zh-CN"/>
        </w:rPr>
        <w:t>10</w:t>
      </w:r>
      <w:r>
        <w:rPr>
          <w:rFonts w:ascii="Arial" w:hAnsi="Arial" w:eastAsia="Arial" w:cs="Arial"/>
          <w:color w:val="7F8C8D"/>
          <w:sz w:val="21"/>
          <w:szCs w:val="21"/>
        </w:rPr>
        <w:t xml:space="preserve"> - 20</w:t>
      </w:r>
      <w:r>
        <w:rPr>
          <w:rFonts w:hint="eastAsia" w:ascii="Arial" w:hAnsi="Arial" w:eastAsia="宋体" w:cs="Arial"/>
          <w:color w:val="7F8C8D"/>
          <w:sz w:val="21"/>
          <w:szCs w:val="21"/>
          <w:lang w:val="en-US" w:eastAsia="zh-CN"/>
        </w:rPr>
        <w:t>26.04</w:t>
      </w:r>
    </w:p>
    <w:p w14:paraId="46F07464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负责信用卡客户拓展与维护，完成个人业绩指标，连续24个月业绩排名分行前10%</w:t>
      </w:r>
    </w:p>
    <w:p w14:paraId="70FBC419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深入挖掘客户需求，提供综合金融解决方案，成功营销高端信用卡客户500+户</w:t>
      </w:r>
    </w:p>
    <w:p w14:paraId="557DFE27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严格执行风险管控要求，确保客户准入合规，个人管户不良率保持0.5%以下</w:t>
      </w:r>
    </w:p>
    <w:p w14:paraId="6E2D01A3">
      <w:pPr>
        <w:spacing w:after="80"/>
        <w:ind w:left="431"/>
      </w:pPr>
      <w:r>
        <w:rPr>
          <w:color w:val="D4AF37"/>
          <w:sz w:val="18"/>
          <w:szCs w:val="18"/>
        </w:rPr>
        <w:t xml:space="preserve">■  </w:t>
      </w:r>
      <w:r>
        <w:rPr>
          <w:rFonts w:ascii="Arial" w:hAnsi="Arial" w:eastAsia="Arial" w:cs="Arial"/>
          <w:color w:val="2C3E50"/>
          <w:sz w:val="21"/>
          <w:szCs w:val="21"/>
        </w:rPr>
        <w:t>参与新员工带教工作，协助5名新员工快速成长并独立开展业务</w:t>
      </w:r>
    </w:p>
    <w:p w14:paraId="6A6CE096">
      <w:pPr>
        <w:spacing w:after="200"/>
      </w:pPr>
    </w:p>
    <w:p w14:paraId="19D52351">
      <w:pPr>
        <w:pBdr>
          <w:bottom w:val="none" w:color="D4AF37" w:sz="6" w:space="4"/>
        </w:pBdr>
        <w:spacing w:before="360" w:after="24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核心项目经历  KEY PROJECTS</w:t>
      </w:r>
    </w:p>
    <w:p w14:paraId="3D2B93F3">
      <w:pPr>
        <w:spacing w:after="4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团队产能提升专项项目</w:t>
      </w:r>
    </w:p>
    <w:p w14:paraId="6CBFED48">
      <w:pPr>
        <w:spacing w:after="80"/>
      </w:pPr>
      <w:r>
        <w:rPr>
          <w:rFonts w:ascii="Arial" w:hAnsi="Arial" w:eastAsia="Arial" w:cs="Arial"/>
          <w:i/>
          <w:iCs/>
          <w:color w:val="7F8C8D"/>
          <w:sz w:val="20"/>
          <w:szCs w:val="20"/>
        </w:rPr>
        <w:t>项目负责人 | 2023.01 - 2023.12</w:t>
      </w:r>
    </w:p>
    <w:p w14:paraId="2CCCA84A">
      <w:pPr>
        <w:spacing w:after="200"/>
        <w:ind w:left="288"/>
      </w:pPr>
      <w:r>
        <w:rPr>
          <w:rFonts w:ascii="Arial" w:hAnsi="Arial" w:eastAsia="Arial" w:cs="Arial"/>
          <w:color w:val="34495E"/>
          <w:sz w:val="21"/>
          <w:szCs w:val="21"/>
        </w:rPr>
        <w:t>针对团队产能瓶颈，主导实施“效能倍增”专项项目。通过优化业务流程、完善激励机制、强化技能培训、推行标杆管理等措施，实现团队人均产能提升45%，月度业务处理量突破历史峰值。项目成果获卡中心管理层高度认可，并在全中心推广复制。</w:t>
      </w:r>
    </w:p>
    <w:p w14:paraId="24B3A6B5">
      <w:pPr>
        <w:spacing w:after="4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风险合规管理体系建设</w:t>
      </w:r>
    </w:p>
    <w:p w14:paraId="4B4D0D7D">
      <w:pPr>
        <w:spacing w:after="80"/>
      </w:pPr>
      <w:r>
        <w:rPr>
          <w:rFonts w:ascii="Arial" w:hAnsi="Arial" w:eastAsia="Arial" w:cs="Arial"/>
          <w:i/>
          <w:iCs/>
          <w:color w:val="7F8C8D"/>
          <w:sz w:val="20"/>
          <w:szCs w:val="20"/>
        </w:rPr>
        <w:t>项目牵头人 | 2022.03 - 2022.09</w:t>
      </w:r>
    </w:p>
    <w:p w14:paraId="7869444D">
      <w:pPr>
        <w:spacing w:after="200"/>
        <w:ind w:left="288"/>
      </w:pPr>
      <w:r>
        <w:rPr>
          <w:rFonts w:ascii="Arial" w:hAnsi="Arial" w:eastAsia="Arial" w:cs="Arial"/>
          <w:color w:val="34495E"/>
          <w:sz w:val="21"/>
          <w:szCs w:val="21"/>
        </w:rPr>
        <w:t>牵头建立团队风险合规管理体系，制定《团队合规操作手册》，建立三级风险预警机制，开展常态化合规培训20+场。项目实施后，团队合规操作规范率达100%，监管检查零问题，客户投诉率下降60%，风险控制指标位列卡中心前三。</w:t>
      </w:r>
    </w:p>
    <w:p w14:paraId="4E51E54A">
      <w:pPr>
        <w:spacing w:after="4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人才梯队建设工程</w:t>
      </w:r>
    </w:p>
    <w:p w14:paraId="33CFC626">
      <w:pPr>
        <w:spacing w:after="80"/>
      </w:pPr>
      <w:r>
        <w:rPr>
          <w:rFonts w:ascii="Arial" w:hAnsi="Arial" w:eastAsia="Arial" w:cs="Arial"/>
          <w:i/>
          <w:iCs/>
          <w:color w:val="7F8C8D"/>
          <w:sz w:val="20"/>
          <w:szCs w:val="20"/>
        </w:rPr>
        <w:t>项目负责人 | 2021.06 - 2021.12</w:t>
      </w:r>
    </w:p>
    <w:p w14:paraId="6E90BC32">
      <w:pPr>
        <w:spacing w:after="200"/>
        <w:ind w:left="288"/>
      </w:pPr>
      <w:r>
        <w:rPr>
          <w:rFonts w:ascii="Arial" w:hAnsi="Arial" w:eastAsia="Arial" w:cs="Arial"/>
          <w:color w:val="34495E"/>
          <w:sz w:val="21"/>
          <w:szCs w:val="21"/>
        </w:rPr>
        <w:t>针对团队快速发展的人才需求，搭建“雏鹰-飞鹰-精鹰”三级人才培养体系。建立储备主管选拔机制，实施导师带教制度，开展管理技能培训项目。年度内成功培养储备主管12人，团队骨干流失率控制在8%以下，人才储备满足业务扩张需求。</w:t>
      </w:r>
    </w:p>
    <w:p w14:paraId="09BCC973">
      <w:pPr>
        <w:pBdr>
          <w:bottom w:val="none" w:color="D4AF37" w:sz="6" w:space="4"/>
        </w:pBdr>
        <w:spacing w:before="360" w:after="24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工作成果  KEY ACHIEVEMENTS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36"/>
        <w:gridCol w:w="3020"/>
        <w:gridCol w:w="2990"/>
      </w:tblGrid>
      <w:tr w14:paraId="5BFACDBB"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</w:tcPr>
          <w:p w14:paraId="0459CA2C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40"/>
                <w:szCs w:val="40"/>
              </w:rPr>
              <w:t>150+</w:t>
            </w:r>
          </w:p>
          <w:p w14:paraId="212A2D85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19"/>
                <w:szCs w:val="19"/>
              </w:rPr>
              <w:t>团队管理规模（人）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</w:tcPr>
          <w:p w14:paraId="64C12CA4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40"/>
                <w:szCs w:val="40"/>
              </w:rPr>
              <w:t>120%</w:t>
            </w:r>
          </w:p>
          <w:p w14:paraId="7D5A3A1C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19"/>
                <w:szCs w:val="19"/>
              </w:rPr>
              <w:t>年度业绩达成率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</w:tcPr>
          <w:p w14:paraId="7C8E81EB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40"/>
                <w:szCs w:val="40"/>
              </w:rPr>
              <w:t>35%</w:t>
            </w:r>
          </w:p>
          <w:p w14:paraId="2A94C422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19"/>
                <w:szCs w:val="19"/>
              </w:rPr>
              <w:t>团队人效提升</w:t>
            </w:r>
          </w:p>
        </w:tc>
      </w:tr>
      <w:tr w14:paraId="179CB641"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</w:tcPr>
          <w:p w14:paraId="32AA85B0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40"/>
                <w:szCs w:val="40"/>
              </w:rPr>
              <w:t>98.5%</w:t>
            </w:r>
          </w:p>
          <w:p w14:paraId="3EAC21ED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19"/>
                <w:szCs w:val="19"/>
              </w:rPr>
              <w:t>客户满意度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</w:tcPr>
          <w:p w14:paraId="30229CBB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40"/>
                <w:szCs w:val="40"/>
              </w:rPr>
              <w:t>&lt;8%</w:t>
            </w:r>
          </w:p>
          <w:p w14:paraId="323E9089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19"/>
                <w:szCs w:val="19"/>
              </w:rPr>
              <w:t>骨干流失率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</w:tcPr>
          <w:p w14:paraId="54740CE5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40"/>
                <w:szCs w:val="40"/>
              </w:rPr>
              <w:t>12人</w:t>
            </w:r>
          </w:p>
          <w:p w14:paraId="44FCC520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19"/>
                <w:szCs w:val="19"/>
              </w:rPr>
              <w:t>培养储备主管</w:t>
            </w:r>
          </w:p>
        </w:tc>
      </w:tr>
    </w:tbl>
    <w:p w14:paraId="2F15E7D9">
      <w:pPr>
        <w:spacing w:after="360"/>
      </w:pPr>
    </w:p>
    <w:p w14:paraId="503AE130">
      <w:pPr>
        <w:pBdr>
          <w:bottom w:val="none" w:color="D4AF37" w:sz="6" w:space="4"/>
        </w:pBdr>
        <w:spacing w:before="360" w:after="24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自我评价  PERSONAL EVALUATION</w:t>
      </w:r>
    </w:p>
    <w:p w14:paraId="1E70C9BC">
      <w:pPr>
        <w:spacing w:after="120"/>
      </w:pPr>
      <w:r>
        <w:rPr>
          <w:rFonts w:ascii="Arial" w:hAnsi="Arial" w:eastAsia="Arial" w:cs="Arial"/>
          <w:b/>
          <w:bCs/>
          <w:color w:val="1E3A5F"/>
          <w:sz w:val="21"/>
          <w:szCs w:val="21"/>
        </w:rPr>
        <w:t>管理理念：</w:t>
      </w:r>
      <w:r>
        <w:rPr>
          <w:rFonts w:ascii="Arial" w:hAnsi="Arial" w:eastAsia="Arial" w:cs="Arial"/>
          <w:color w:val="34495E"/>
          <w:sz w:val="21"/>
          <w:szCs w:val="21"/>
        </w:rPr>
        <w:t>坚持以目标为导向、以结果论英雄的管理理念，注重团队文化建设与人文关怀，善于激发团队潜能，打造高绩效、高凝聚力、高执行力的精英团队。</w:t>
      </w:r>
    </w:p>
    <w:p w14:paraId="150D9678">
      <w:pPr>
        <w:spacing w:after="120"/>
      </w:pPr>
      <w:r>
        <w:rPr>
          <w:rFonts w:ascii="Arial" w:hAnsi="Arial" w:eastAsia="Arial" w:cs="Arial"/>
          <w:b/>
          <w:bCs/>
          <w:color w:val="1E3A5F"/>
          <w:sz w:val="21"/>
          <w:szCs w:val="21"/>
        </w:rPr>
        <w:t>专业能力：</w:t>
      </w:r>
      <w:r>
        <w:rPr>
          <w:rFonts w:ascii="Arial" w:hAnsi="Arial" w:eastAsia="Arial" w:cs="Arial"/>
          <w:color w:val="34495E"/>
          <w:sz w:val="21"/>
          <w:szCs w:val="21"/>
        </w:rPr>
        <w:t>深耕银行信用卡业务多年，熟悉信用卡业务全流程及监管政策，具备扎实的风险管理功底和合规意识。在团队管理、业绩达成、风险控制等方面积累了丰富的实战经验。</w:t>
      </w:r>
    </w:p>
    <w:p w14:paraId="59C396E5">
      <w:pPr>
        <w:spacing w:after="120"/>
      </w:pPr>
      <w:r>
        <w:rPr>
          <w:rFonts w:ascii="Arial" w:hAnsi="Arial" w:eastAsia="Arial" w:cs="Arial"/>
          <w:b/>
          <w:bCs/>
          <w:color w:val="1E3A5F"/>
          <w:sz w:val="21"/>
          <w:szCs w:val="21"/>
        </w:rPr>
        <w:t>职业素养：</w:t>
      </w:r>
      <w:r>
        <w:rPr>
          <w:rFonts w:ascii="Arial" w:hAnsi="Arial" w:eastAsia="Arial" w:cs="Arial"/>
          <w:color w:val="34495E"/>
          <w:sz w:val="21"/>
          <w:szCs w:val="21"/>
        </w:rPr>
        <w:t>具备强烈的责任心和事业心，工作严谨细致，执行力强。善于沟通协调，具备优秀的跨部门协作能力。保持持续学习，紧跟行业发展趋势，不断提升专业素养和管理水平。</w:t>
      </w:r>
    </w:p>
    <w:p w14:paraId="3ED8801A">
      <w:pPr>
        <w:spacing w:after="120"/>
      </w:pPr>
      <w:r>
        <w:rPr>
          <w:rFonts w:ascii="Arial" w:hAnsi="Arial" w:eastAsia="Arial" w:cs="Arial"/>
          <w:b/>
          <w:bCs/>
          <w:color w:val="1E3A5F"/>
          <w:sz w:val="21"/>
          <w:szCs w:val="21"/>
        </w:rPr>
        <w:t>发展愿景：</w:t>
      </w:r>
      <w:r>
        <w:rPr>
          <w:rFonts w:ascii="Arial" w:hAnsi="Arial" w:eastAsia="Arial" w:cs="Arial"/>
          <w:color w:val="34495E"/>
          <w:sz w:val="21"/>
          <w:szCs w:val="21"/>
        </w:rPr>
        <w:t>期望在银行信用卡业务管理领域持续深耕，发挥管理专长和专业优势，为银行创造更大价值，同时实现个人职业生涯的更高突破。</w:t>
      </w:r>
    </w:p>
    <w:bookmarkEnd w:id="0"/>
    <w:sectPr>
      <w:pgSz w:w="11906" w:h="16838"/>
      <w:pgMar w:top="1152" w:right="1440" w:bottom="1152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7FD371C"/>
    <w:rsid w:val="5FFF9B61"/>
    <w:rsid w:val="773F76DA"/>
    <w:rsid w:val="7BF9CB04"/>
    <w:rsid w:val="7FFF1E78"/>
    <w:rsid w:val="FECEE2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17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Professional Resume</dc:creator>
  <cp:lastModifiedBy>Sywan</cp:lastModifiedBy>
  <dcterms:modified xsi:type="dcterms:W3CDTF">2026-06-11T15:03:40Z</dcterms:modified>
  <dc:title>Team Manager Resume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BFDB9A589A31A46F20172A6A5AA41B11_42</vt:lpwstr>
  </property>
</Properties>
</file>