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Hardware-Grobkonzept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 für den Betrieb des Intranets:</w:t>
      </w:r>
    </w:p>
    <w:p>
      <w:pPr>
        <w:pStyle w:val="Normal"/>
        <w:rPr/>
      </w:pPr>
      <w:r>
        <w:rPr/>
        <w:t>Rahmenbedingungen:</w:t>
      </w:r>
    </w:p>
    <w:tbl>
      <w:tblPr>
        <w:tblW w:w="9636" w:type="dxa"/>
        <w:jc w:val="left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30"/>
        <w:gridCol w:w="2701"/>
        <w:gridCol w:w="2719"/>
        <w:gridCol w:w="268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2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3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Das Intranet über die bereits vorhandenen Server im Rechenzentrum der KlinikIT betreiben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Die Server für das Intranet kaufen und getrennt von den anderen Systemen der KlinikIT betreiben 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Das Intranet im Rechenzentrum eines externen Providers betreiben (Cloud)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fallen keine zusätzlichen Kosten für die Bereitstellung der Hardware an</w:t>
            </w:r>
          </w:p>
          <w:p>
            <w:pPr>
              <w:pStyle w:val="Tabelleninhalt"/>
              <w:rPr/>
            </w:pPr>
            <w:r>
              <w:rPr/>
              <w:t>- Die eingesetzte Hardware ist bereits bekannt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Hardware kann speziell auf den Betrieb des Intranets zugeschnitten und angeschafft werden</w:t>
            </w:r>
          </w:p>
          <w:p>
            <w:pPr>
              <w:pStyle w:val="Tabelleninhalt"/>
              <w:rPr/>
            </w:pPr>
            <w:r>
              <w:rPr/>
              <w:t>- Bei einer technischen Störung oder Wartung des Rechenzentrums der KlinikIT bleibt das Intranet für die MA erreichb</w:t>
            </w:r>
            <w:r>
              <w:rPr/>
              <w:t>a</w:t>
            </w:r>
            <w:r>
              <w:rPr/>
              <w:t>r</w:t>
            </w:r>
          </w:p>
          <w:p>
            <w:pPr>
              <w:pStyle w:val="Tabelleninhalt"/>
              <w:rPr/>
            </w:pPr>
            <w:r>
              <w:rPr/>
              <w:t xml:space="preserve">- Die benötigte Hardware kann durch den </w:t>
            </w:r>
            <w:r>
              <w:rPr/>
              <w:t>K</w:t>
            </w:r>
            <w:r>
              <w:rPr/>
              <w:t>auf weiterer Hardware erweitert werden (skalierbar)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benötigte Hardware kann sehr schnell und einfach durch „hinzumieten“ von weiteren Kapazitäten angepasst werden (sehr gut skalierbar)</w:t>
            </w:r>
          </w:p>
          <w:p>
            <w:pPr>
              <w:pStyle w:val="Tabelleninhalt"/>
              <w:rPr/>
            </w:pPr>
            <w:r>
              <w:rPr/>
              <w:t>- Je nach Servicelevel garantiert der Provider eine gewisse Erreichbarkeit</w:t>
            </w:r>
          </w:p>
          <w:p>
            <w:pPr>
              <w:pStyle w:val="Tabelleninhalt"/>
              <w:rPr/>
            </w:pPr>
            <w:r>
              <w:rPr/>
              <w:t>- Der Provider bietet bei Problemen Support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nur bedingt skalierbar, da die Rechenleistung im Rechenzentrum begrenzt ist</w:t>
            </w:r>
          </w:p>
          <w:p>
            <w:pPr>
              <w:pStyle w:val="Tabelleninhalt"/>
              <w:rPr/>
            </w:pPr>
            <w:r>
              <w:rPr/>
              <w:t>- Die Administration und Wartung der Hardware muss selbst durch die KlinikIT erfolgen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Administration und Wartung der Hardware muss selbst durch die KlinikIT erfolgen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Es entstehen langfristig höhere Kosten, als bei einem Kauf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Risiko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</w:p>
        </w:tc>
        <w:tc>
          <w:tcPr>
            <w:tcW w:w="27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- Es gibt technische Störungen beim </w:t>
            </w:r>
            <w:commentRangeStart w:id="0"/>
            <w:r>
              <w:rPr/>
              <w:t>Internetanschluss</w:t>
            </w:r>
            <w:commentRangeEnd w:id="0"/>
            <w:r>
              <w:commentReference w:id="0"/>
            </w: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 für den Zugang der Mitarbeiter auf das Intranet:</w:t>
      </w:r>
    </w:p>
    <w:p>
      <w:pPr>
        <w:pStyle w:val="Normal"/>
        <w:rPr/>
      </w:pPr>
      <w:r>
        <w:rPr/>
        <w:t>Rahmenbedingungen:</w:t>
      </w:r>
    </w:p>
    <w:tbl>
      <w:tblPr>
        <w:tblW w:w="9636" w:type="dxa"/>
        <w:jc w:val="left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529"/>
        <w:gridCol w:w="4028"/>
        <w:gridCol w:w="4079"/>
      </w:tblGrid>
      <w:tr>
        <w:trPr/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1</w:t>
            </w:r>
          </w:p>
        </w:tc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Lösungsvorschlag 2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Beschreibung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Die benötigte Hardware kaufen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Die benötigte Hardware von einem externen Dienstleister mieten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Vorteile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Einmalige Kosten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Administration und Wartung wird vom Dienstleister übernommen</w:t>
            </w:r>
          </w:p>
          <w:p>
            <w:pPr>
              <w:pStyle w:val="Tabelleninhalt"/>
              <w:rPr/>
            </w:pPr>
            <w:r>
              <w:rPr/>
              <w:t>- Es wird dieselbe Hardware verwendet</w:t>
            </w:r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Nachteile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Administration und Wartung muss von der KlinikIT übernommen werden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langfristigen Kosten sind höher, als bei einem Kauf</w:t>
            </w:r>
            <w:bookmarkStart w:id="0" w:name="_GoBack"/>
            <w:bookmarkEnd w:id="0"/>
          </w:p>
        </w:tc>
      </w:tr>
      <w:tr>
        <w:trPr/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Risiko</w:t>
            </w:r>
          </w:p>
        </w:tc>
        <w:tc>
          <w:tcPr>
            <w:tcW w:w="40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>- Die gekaufte Hardware bzw. Teile davon können nach einer gewissen Lebensdauer ausfallen</w:t>
            </w:r>
          </w:p>
        </w:tc>
        <w:tc>
          <w:tcPr>
            <w:tcW w:w="4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rPr/>
              <w:t xml:space="preserve">-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eon-Darius König" w:date="2019-05-02T09:19:00Z" w:initials="LK">
    <w:p>
      <w:r>
        <w:rPr>
          <w:rFonts w:eastAsia="Segoe UI" w:cs="Tahoma"/>
          <w:kern w:val="0"/>
          <w:lang w:val="en-US" w:eastAsia="en-US" w:bidi="en-US"/>
        </w:rPr>
        <w:t>Auch wenns unwahrscheinlich ist, aber theoretisch besteht das Risiko dass der Cloudanbieter insolvent wird</w:t>
      </w:r>
    </w:p>
    <w:p>
      <w:r>
        <w:rPr>
          <w:rFonts w:eastAsia="Segoe UI" w:cs="Tahoma"/>
          <w:kern w:val="0"/>
          <w:lang w:val="en-US" w:eastAsia="en-US" w:bidi="en-US"/>
        </w:rPr>
      </w:r>
    </w:p>
    <w:p>
      <w:r>
        <w:rPr>
          <w:rFonts w:eastAsia="Segoe UI" w:cs="Tahoma"/>
          <w:kern w:val="0"/>
          <w:lang w:val="en-US" w:eastAsia="en-US" w:bidi="en-US"/>
        </w:rPr>
        <w:t xml:space="preserve">Datenschutz </w:t>
      </w:r>
      <w:r>
        <w:rPr>
          <w:rFonts w:ascii="Wingdings" w:hAnsi="Wingdings" w:eastAsia="Wingdings" w:cs="Wingdings"/>
          <w:kern w:val="0"/>
          <w:lang w:val="en-US" w:eastAsia="en-US" w:bidi="en-US"/>
        </w:rPr>
        <w:t></w:t>
      </w:r>
      <w:r>
        <w:rPr>
          <w:rFonts w:eastAsia="Segoe UI" w:cs="Tahoma"/>
          <w:kern w:val="0"/>
          <w:lang w:val="en-US" w:eastAsia="en-US" w:bidi="en-US"/>
        </w:rPr>
        <w:t xml:space="preserve"> in welchem Land betrieben/liegen die Daten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4700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254700"/>
    <w:rPr>
      <w:rFonts w:cs="Mangal"/>
      <w:szCs w:val="18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254700"/>
    <w:rPr>
      <w:rFonts w:cs="Mangal"/>
      <w:b/>
      <w:bCs/>
      <w:szCs w:val="1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54700"/>
    <w:rPr>
      <w:rFonts w:ascii="Segoe UI" w:hAnsi="Segoe UI" w:cs="Mangal"/>
      <w:sz w:val="18"/>
      <w:szCs w:val="16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254700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54700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54700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LibreOffice/6.2.2.2$Windows_X86_64 LibreOffice_project/2b840030fec2aae0fd2658d8d4f9548af4e3518d</Application>
  <Pages>2</Pages>
  <Words>293</Words>
  <Characters>1794</Characters>
  <CharactersWithSpaces>2045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2019-05-02T00:21:00Z</dcterms:created>
  <dc:creator/>
  <dc:description/>
  <dc:language>de-DE</dc:language>
  <cp:lastModifiedBy/>
  <dcterms:modified xsi:type="dcterms:W3CDTF">2019-05-06T13:28:30Z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