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1F2D84">
      <w:pPr>
        <w:pStyle w:val="Listenabsatz"/>
        <w:numPr>
          <w:ilvl w:val="0"/>
          <w:numId w:val="4"/>
        </w:numPr>
        <w:shd w:val="clear" w:color="auto" w:fill="FFC00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9432AC" w:rsidRDefault="00F02CE8" w:rsidP="001F2D84">
      <w:pPr>
        <w:pStyle w:val="Listenabsatz"/>
        <w:numPr>
          <w:ilvl w:val="0"/>
          <w:numId w:val="4"/>
        </w:numPr>
        <w:shd w:val="clear" w:color="auto" w:fill="FF0000"/>
        <w:spacing w:line="276" w:lineRule="auto"/>
      </w:pPr>
      <w:r>
        <w:t>In welcher Form sollen die Arbeitspakete beschrieben werden (Tabelle/Vorlage oder Fließtext)?</w:t>
      </w:r>
    </w:p>
    <w:p w:rsidR="00F02CE8" w:rsidRPr="00F02CE8" w:rsidRDefault="009432AC" w:rsidP="00C87FB7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Gibt es Funktionen des Alt-Intranet, die auch während der Einführung unbedingt erhalten bleiben müssen?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Die Erarbeitung eines Berechtigungskonzeptes ist erforderlich, allerdings nicht für die allgemeine Kommunikation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Sollen für die MA der einzelnen Bereiche eingeschränkte/spezialisierte Sichten auf das Intranet bekommen?</w:t>
      </w:r>
      <w:r w:rsidR="00750183">
        <w:t xml:space="preserve"> -&gt; Nutzer- und Rechtemanagement?</w:t>
      </w:r>
    </w:p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soll das Intranet abgesichert werden?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Welche Rechte sollen einzelne MA im Intranet haben?</w:t>
      </w:r>
    </w:p>
    <w:p w:rsidR="00DA6622" w:rsidRDefault="00592752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Welche Funktionen beinhaltet das neu erstellte Intranet der Internet-Agentur?</w:t>
      </w:r>
    </w:p>
    <w:p w:rsidR="00592752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ist das Intranet der IA realisiert, auf welcher Hardware basiert das System?</w:t>
      </w:r>
    </w:p>
    <w:p w:rsidR="005707C7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Hat das Intranet der IA Abhängigkeiten zu Altsystemen?</w:t>
      </w:r>
    </w:p>
    <w:p w:rsidR="005707C7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</w:p>
    <w:p w:rsidR="005707C7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Darf das Intranet weiterentwickelt werden?</w:t>
      </w:r>
    </w:p>
    <w:p w:rsidR="00F02CE8" w:rsidRDefault="00F02CE8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F02CE8" w:rsidRDefault="0032548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Existieren noch verfügbare Hardware-Ressourcen, auf denen das Intranet betrieben werden kann?</w:t>
      </w:r>
    </w:p>
    <w:p w:rsidR="000C3605" w:rsidRDefault="00C82FEE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detailliert sollen HW- und SW-Grobkonzept sein?</w:t>
      </w:r>
    </w:p>
    <w:p w:rsidR="00343C4C" w:rsidRDefault="00343C4C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B60D6A" w:rsidRDefault="00B60D6A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detailliert sollen die Anforderungen beschrieben werden?</w:t>
      </w:r>
    </w:p>
    <w:p w:rsidR="007851B0" w:rsidRDefault="007851B0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Datensicherung/Ausfallsicherheit/Redundanz/…</w:t>
      </w:r>
    </w:p>
    <w:p w:rsidR="00A07434" w:rsidRPr="00E53517" w:rsidRDefault="00A07434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sollen die Inhalte veröffentlicht werden?</w:t>
      </w:r>
      <w:bookmarkStart w:id="0" w:name="_GoBack"/>
      <w:bookmarkEnd w:id="0"/>
    </w:p>
    <w:sectPr w:rsidR="00A07434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91DB2"/>
    <w:rsid w:val="00093FF4"/>
    <w:rsid w:val="000C3605"/>
    <w:rsid w:val="00111CCF"/>
    <w:rsid w:val="00137620"/>
    <w:rsid w:val="001B7533"/>
    <w:rsid w:val="001D7DE6"/>
    <w:rsid w:val="001F2D84"/>
    <w:rsid w:val="002A66CF"/>
    <w:rsid w:val="00325487"/>
    <w:rsid w:val="00343C4C"/>
    <w:rsid w:val="003C4A89"/>
    <w:rsid w:val="00410E2F"/>
    <w:rsid w:val="00522FB6"/>
    <w:rsid w:val="00537C12"/>
    <w:rsid w:val="005707C7"/>
    <w:rsid w:val="00592752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9032B"/>
    <w:rsid w:val="00A07434"/>
    <w:rsid w:val="00A44943"/>
    <w:rsid w:val="00A47879"/>
    <w:rsid w:val="00A67BB9"/>
    <w:rsid w:val="00A913BF"/>
    <w:rsid w:val="00B50F69"/>
    <w:rsid w:val="00B60D6A"/>
    <w:rsid w:val="00C16CAA"/>
    <w:rsid w:val="00C82FEE"/>
    <w:rsid w:val="00C87FB7"/>
    <w:rsid w:val="00C976D7"/>
    <w:rsid w:val="00CF0D4B"/>
    <w:rsid w:val="00D321C4"/>
    <w:rsid w:val="00DA0A91"/>
    <w:rsid w:val="00DA6622"/>
    <w:rsid w:val="00E53517"/>
    <w:rsid w:val="00E56330"/>
    <w:rsid w:val="00EE5CE4"/>
    <w:rsid w:val="00F02CE8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5F3D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43</cp:revision>
  <dcterms:created xsi:type="dcterms:W3CDTF">2019-04-17T07:41:00Z</dcterms:created>
  <dcterms:modified xsi:type="dcterms:W3CDTF">2019-04-25T16:28:00Z</dcterms:modified>
</cp:coreProperties>
</file>