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9D5" w:rsidRPr="000D4196" w:rsidRDefault="00E22BB1" w:rsidP="004479D5">
      <w:pPr>
        <w:pStyle w:val="Title"/>
        <w:rPr>
          <w:b/>
        </w:rPr>
      </w:pPr>
      <w:r>
        <w:rPr>
          <w:b/>
        </w:rPr>
        <w:t>Standard Warm-Up Campaign</w:t>
      </w:r>
    </w:p>
    <w:p w:rsidR="009B4752" w:rsidRPr="004479D5" w:rsidRDefault="004479D5" w:rsidP="004479D5">
      <w:pPr>
        <w:pStyle w:val="Heading1"/>
        <w:rPr>
          <w:u w:val="single"/>
        </w:rPr>
      </w:pPr>
      <w:r w:rsidRPr="004479D5">
        <w:rPr>
          <w:u w:val="single"/>
        </w:rPr>
        <w:t>1</w:t>
      </w:r>
      <w:r w:rsidR="009B4752" w:rsidRPr="004479D5">
        <w:rPr>
          <w:u w:val="single"/>
        </w:rPr>
        <w:t xml:space="preserve">.1 Background </w:t>
      </w:r>
    </w:p>
    <w:p w:rsidR="009B4752" w:rsidRDefault="009B4752" w:rsidP="009B4752">
      <w:pPr>
        <w:pStyle w:val="Default"/>
        <w:rPr>
          <w:sz w:val="22"/>
          <w:szCs w:val="22"/>
        </w:rPr>
      </w:pPr>
      <w:r>
        <w:rPr>
          <w:sz w:val="22"/>
          <w:szCs w:val="22"/>
        </w:rPr>
        <w:t>The major ISPs throttle inbound traffic from IP addresses</w:t>
      </w:r>
      <w:r w:rsidR="00E22BB1">
        <w:rPr>
          <w:sz w:val="22"/>
          <w:szCs w:val="22"/>
        </w:rPr>
        <w:t>;</w:t>
      </w:r>
      <w:r>
        <w:rPr>
          <w:sz w:val="22"/>
          <w:szCs w:val="22"/>
        </w:rPr>
        <w:t xml:space="preserve"> even if the IP addresses/domains are whitelisted with the ISP. ISPs are becoming more cautious with traffic in order to give them greater protection from spam and phishing attacks. </w:t>
      </w:r>
    </w:p>
    <w:p w:rsidR="00D80406" w:rsidRDefault="00D80406" w:rsidP="009B4752">
      <w:pPr>
        <w:pStyle w:val="Default"/>
        <w:rPr>
          <w:sz w:val="22"/>
          <w:szCs w:val="22"/>
        </w:rPr>
      </w:pPr>
    </w:p>
    <w:p w:rsidR="009B4752" w:rsidRDefault="009B4752" w:rsidP="009B4752">
      <w:pPr>
        <w:pStyle w:val="Default"/>
        <w:rPr>
          <w:sz w:val="22"/>
          <w:szCs w:val="22"/>
        </w:rPr>
      </w:pPr>
      <w:r>
        <w:rPr>
          <w:sz w:val="22"/>
          <w:szCs w:val="22"/>
        </w:rPr>
        <w:t xml:space="preserve">A </w:t>
      </w:r>
      <w:r w:rsidR="00076A6E">
        <w:rPr>
          <w:sz w:val="22"/>
          <w:szCs w:val="22"/>
        </w:rPr>
        <w:t>favourable</w:t>
      </w:r>
      <w:r>
        <w:rPr>
          <w:sz w:val="22"/>
          <w:szCs w:val="22"/>
        </w:rPr>
        <w:t xml:space="preserve"> reputation is measured by low bounce rates and low spam complaint rates for a given day, and over the history of the IP address. The lower the spam complaint rate and the lower</w:t>
      </w:r>
      <w:r w:rsidR="00E22BB1">
        <w:rPr>
          <w:sz w:val="22"/>
          <w:szCs w:val="22"/>
        </w:rPr>
        <w:t xml:space="preserve"> the</w:t>
      </w:r>
      <w:r>
        <w:rPr>
          <w:sz w:val="22"/>
          <w:szCs w:val="22"/>
        </w:rPr>
        <w:t xml:space="preserve"> bounce rate with a consistent traffic volume, the better the reputation. As a reputation gains </w:t>
      </w:r>
      <w:r w:rsidR="00076A6E">
        <w:rPr>
          <w:sz w:val="22"/>
          <w:szCs w:val="22"/>
        </w:rPr>
        <w:t>favour</w:t>
      </w:r>
      <w:r>
        <w:rPr>
          <w:sz w:val="22"/>
          <w:szCs w:val="22"/>
        </w:rPr>
        <w:t xml:space="preserve">, the ISPs will increase their traffic threshold for the given IP address. </w:t>
      </w:r>
    </w:p>
    <w:p w:rsidR="00A05D39" w:rsidRDefault="00A05D39" w:rsidP="009B4752">
      <w:pPr>
        <w:pStyle w:val="Default"/>
        <w:rPr>
          <w:sz w:val="22"/>
          <w:szCs w:val="22"/>
        </w:rPr>
      </w:pPr>
    </w:p>
    <w:p w:rsidR="00B91793" w:rsidRDefault="00B91793" w:rsidP="00B91793">
      <w:pPr>
        <w:pStyle w:val="Heading1"/>
        <w:rPr>
          <w:u w:val="single"/>
        </w:rPr>
      </w:pPr>
      <w:r w:rsidRPr="004479D5">
        <w:rPr>
          <w:u w:val="single"/>
        </w:rPr>
        <w:t>1.</w:t>
      </w:r>
      <w:r w:rsidR="00E22BB1">
        <w:rPr>
          <w:u w:val="single"/>
        </w:rPr>
        <w:t>2</w:t>
      </w:r>
      <w:r w:rsidRPr="004479D5">
        <w:rPr>
          <w:u w:val="single"/>
        </w:rPr>
        <w:t xml:space="preserve"> Quality of Recipients </w:t>
      </w:r>
    </w:p>
    <w:p w:rsidR="00B91793" w:rsidRPr="00B91793" w:rsidRDefault="00E22BB1" w:rsidP="00B91793">
      <w:pPr>
        <w:rPr>
          <w:rFonts w:ascii="Arial" w:hAnsi="Arial" w:cs="Arial"/>
          <w:color w:val="000000"/>
        </w:rPr>
      </w:pPr>
      <w:r>
        <w:rPr>
          <w:rFonts w:ascii="Arial" w:hAnsi="Arial" w:cs="Arial"/>
          <w:color w:val="000000"/>
        </w:rPr>
        <w:t>The goal during a “</w:t>
      </w:r>
      <w:proofErr w:type="spellStart"/>
      <w:r>
        <w:rPr>
          <w:rFonts w:ascii="Arial" w:hAnsi="Arial" w:cs="Arial"/>
          <w:color w:val="000000"/>
        </w:rPr>
        <w:t>wam</w:t>
      </w:r>
      <w:proofErr w:type="spellEnd"/>
      <w:r>
        <w:rPr>
          <w:rFonts w:ascii="Arial" w:hAnsi="Arial" w:cs="Arial"/>
          <w:color w:val="000000"/>
        </w:rPr>
        <w:t>-up” period is to email recipients that are least likely to complain or bounce. As such, the initial lists should be comprised of high quality email addresses according to the following criteria</w:t>
      </w:r>
      <w:r w:rsidR="00B91793">
        <w:rPr>
          <w:rFonts w:ascii="Arial" w:hAnsi="Arial" w:cs="Arial"/>
          <w:color w:val="000000"/>
        </w:rPr>
        <w:t xml:space="preserve">:  </w:t>
      </w:r>
    </w:p>
    <w:p w:rsidR="00E22BB1" w:rsidRDefault="00E22BB1" w:rsidP="00E22BB1">
      <w:pPr>
        <w:pStyle w:val="Default"/>
        <w:numPr>
          <w:ilvl w:val="0"/>
          <w:numId w:val="1"/>
        </w:numPr>
        <w:spacing w:after="14"/>
        <w:rPr>
          <w:sz w:val="22"/>
          <w:szCs w:val="22"/>
        </w:rPr>
      </w:pPr>
      <w:r>
        <w:rPr>
          <w:sz w:val="22"/>
          <w:szCs w:val="22"/>
        </w:rPr>
        <w:t>Email addresses that have interacted in the past six (6) months* (Interaction is defined as opening an email, clicking on a link in an email, or making a purchase)</w:t>
      </w:r>
    </w:p>
    <w:p w:rsidR="00E22BB1" w:rsidRDefault="00E22BB1" w:rsidP="00E22BB1">
      <w:pPr>
        <w:pStyle w:val="Default"/>
        <w:spacing w:after="14"/>
        <w:ind w:left="720"/>
        <w:rPr>
          <w:sz w:val="22"/>
          <w:szCs w:val="22"/>
        </w:rPr>
      </w:pPr>
    </w:p>
    <w:p w:rsidR="00B91793" w:rsidRDefault="00B91793" w:rsidP="00076A6E">
      <w:pPr>
        <w:pStyle w:val="Default"/>
        <w:numPr>
          <w:ilvl w:val="0"/>
          <w:numId w:val="1"/>
        </w:numPr>
        <w:spacing w:after="14"/>
        <w:rPr>
          <w:sz w:val="22"/>
          <w:szCs w:val="22"/>
        </w:rPr>
      </w:pPr>
      <w:r>
        <w:rPr>
          <w:sz w:val="22"/>
          <w:szCs w:val="22"/>
        </w:rPr>
        <w:t>Email addresses that have recently opted-in</w:t>
      </w:r>
    </w:p>
    <w:p w:rsidR="00E22BB1" w:rsidRDefault="00E22BB1" w:rsidP="00E22BB1">
      <w:pPr>
        <w:pStyle w:val="ListParagraph"/>
      </w:pPr>
    </w:p>
    <w:p w:rsidR="00E22BB1" w:rsidRDefault="00E22BB1" w:rsidP="00076A6E">
      <w:pPr>
        <w:pStyle w:val="Default"/>
        <w:numPr>
          <w:ilvl w:val="0"/>
          <w:numId w:val="1"/>
        </w:numPr>
        <w:spacing w:after="14"/>
        <w:rPr>
          <w:sz w:val="22"/>
          <w:szCs w:val="22"/>
        </w:rPr>
      </w:pPr>
      <w:r>
        <w:rPr>
          <w:sz w:val="22"/>
          <w:szCs w:val="22"/>
        </w:rPr>
        <w:t>Email addresses that are known to be consistently loyal to the customer brand and will understand the change in From Address from your previous provider.</w:t>
      </w:r>
    </w:p>
    <w:p w:rsidR="00B91793" w:rsidRDefault="00B91793" w:rsidP="00B91793">
      <w:pPr>
        <w:pStyle w:val="Default"/>
        <w:spacing w:after="14"/>
        <w:ind w:left="720"/>
        <w:rPr>
          <w:sz w:val="22"/>
          <w:szCs w:val="22"/>
        </w:rPr>
      </w:pPr>
    </w:p>
    <w:p w:rsidR="00076A6E" w:rsidRPr="00076A6E" w:rsidRDefault="00076A6E" w:rsidP="00076A6E">
      <w:pPr>
        <w:pStyle w:val="Default"/>
        <w:rPr>
          <w:sz w:val="22"/>
          <w:szCs w:val="22"/>
        </w:rPr>
      </w:pPr>
    </w:p>
    <w:p w:rsidR="009B4752" w:rsidRPr="00076A6E" w:rsidRDefault="00E22BB1" w:rsidP="00E22BB1">
      <w:pPr>
        <w:pStyle w:val="Default"/>
        <w:tabs>
          <w:tab w:val="left" w:pos="284"/>
        </w:tabs>
        <w:ind w:left="142"/>
        <w:rPr>
          <w:sz w:val="22"/>
          <w:szCs w:val="22"/>
        </w:rPr>
      </w:pPr>
      <w:r w:rsidRPr="00E22BB1">
        <w:rPr>
          <w:b/>
          <w:color w:val="auto"/>
          <w:sz w:val="22"/>
          <w:szCs w:val="22"/>
        </w:rPr>
        <w:t>*</w:t>
      </w:r>
      <w:r>
        <w:rPr>
          <w:color w:val="auto"/>
          <w:sz w:val="22"/>
          <w:szCs w:val="22"/>
        </w:rPr>
        <w:t xml:space="preserve"> </w:t>
      </w:r>
      <w:r w:rsidR="009B4752">
        <w:rPr>
          <w:color w:val="auto"/>
          <w:sz w:val="22"/>
          <w:szCs w:val="22"/>
        </w:rPr>
        <w:t xml:space="preserve">Addresses older than six (6) months, and certainly older than a year, have a lower “quality” rating because of the increased likelihood of those recipients to click the “This is spam” button. Depending upon the age of the email address, the email address may have been recycled by the ISP to another individual which could also cause recipient complaints. </w:t>
      </w:r>
    </w:p>
    <w:p w:rsidR="009B4752" w:rsidRPr="004479D5" w:rsidRDefault="004479D5" w:rsidP="004479D5">
      <w:pPr>
        <w:pStyle w:val="Heading1"/>
        <w:rPr>
          <w:u w:val="single"/>
        </w:rPr>
      </w:pPr>
      <w:r w:rsidRPr="004479D5">
        <w:rPr>
          <w:u w:val="single"/>
        </w:rPr>
        <w:t>1</w:t>
      </w:r>
      <w:r w:rsidR="009B4752" w:rsidRPr="004479D5">
        <w:rPr>
          <w:u w:val="single"/>
        </w:rPr>
        <w:t>.</w:t>
      </w:r>
      <w:r w:rsidR="003C530C">
        <w:rPr>
          <w:u w:val="single"/>
        </w:rPr>
        <w:t>3</w:t>
      </w:r>
      <w:r w:rsidR="009B4752" w:rsidRPr="004479D5">
        <w:rPr>
          <w:u w:val="single"/>
        </w:rPr>
        <w:t xml:space="preserve"> Number of recipients for the initial warm-up campaign </w:t>
      </w:r>
    </w:p>
    <w:p w:rsidR="00BE7460" w:rsidRDefault="009B7EF3" w:rsidP="009B4752">
      <w:pPr>
        <w:pStyle w:val="Default"/>
        <w:rPr>
          <w:color w:val="auto"/>
          <w:sz w:val="22"/>
          <w:szCs w:val="22"/>
        </w:rPr>
      </w:pPr>
      <w:r>
        <w:rPr>
          <w:color w:val="auto"/>
          <w:sz w:val="22"/>
          <w:szCs w:val="22"/>
        </w:rPr>
        <w:t>As mentioned above, y</w:t>
      </w:r>
      <w:r w:rsidR="009B4752" w:rsidRPr="009B4752">
        <w:rPr>
          <w:color w:val="auto"/>
          <w:sz w:val="22"/>
          <w:szCs w:val="22"/>
        </w:rPr>
        <w:t>our list of warm-up recipients should have only high-quality recipients</w:t>
      </w:r>
      <w:r>
        <w:rPr>
          <w:color w:val="auto"/>
          <w:sz w:val="22"/>
          <w:szCs w:val="22"/>
        </w:rPr>
        <w:t>.</w:t>
      </w:r>
      <w:r w:rsidR="009B4752" w:rsidRPr="009B4752">
        <w:rPr>
          <w:color w:val="auto"/>
          <w:sz w:val="22"/>
          <w:szCs w:val="22"/>
        </w:rPr>
        <w:t xml:space="preserve"> </w:t>
      </w:r>
      <w:r>
        <w:rPr>
          <w:color w:val="auto"/>
          <w:sz w:val="22"/>
          <w:szCs w:val="22"/>
        </w:rPr>
        <w:t>The ideal number</w:t>
      </w:r>
      <w:r w:rsidR="009B4752" w:rsidRPr="009B4752">
        <w:rPr>
          <w:color w:val="auto"/>
          <w:sz w:val="22"/>
          <w:szCs w:val="22"/>
        </w:rPr>
        <w:t xml:space="preserve"> of recipients from each of the major ISPs </w:t>
      </w:r>
      <w:r w:rsidR="00C96A41">
        <w:rPr>
          <w:color w:val="auto"/>
          <w:sz w:val="22"/>
          <w:szCs w:val="22"/>
        </w:rPr>
        <w:t>i</w:t>
      </w:r>
      <w:r w:rsidR="009B4752" w:rsidRPr="009B4752">
        <w:rPr>
          <w:color w:val="auto"/>
          <w:sz w:val="22"/>
          <w:szCs w:val="22"/>
        </w:rPr>
        <w:t xml:space="preserve">s shown in the table below. </w:t>
      </w:r>
    </w:p>
    <w:p w:rsidR="00BE7460" w:rsidRDefault="00BE7460" w:rsidP="009B4752">
      <w:pPr>
        <w:pStyle w:val="Default"/>
        <w:rPr>
          <w:color w:val="auto"/>
          <w:sz w:val="22"/>
          <w:szCs w:val="22"/>
        </w:rPr>
      </w:pPr>
    </w:p>
    <w:p w:rsidR="009B4752" w:rsidRDefault="009B4752" w:rsidP="009B4752">
      <w:pPr>
        <w:pStyle w:val="Default"/>
        <w:rPr>
          <w:color w:val="auto"/>
          <w:sz w:val="22"/>
          <w:szCs w:val="22"/>
        </w:rPr>
      </w:pPr>
      <w:r w:rsidRPr="009B4752">
        <w:rPr>
          <w:color w:val="auto"/>
          <w:sz w:val="22"/>
          <w:szCs w:val="22"/>
        </w:rPr>
        <w:t>The daily volumes listed represent the maximum recommended volumes for each domain.</w:t>
      </w:r>
    </w:p>
    <w:p w:rsidR="009B4752" w:rsidRDefault="009B4752" w:rsidP="009B4752">
      <w:pPr>
        <w:pStyle w:val="Default"/>
        <w:rPr>
          <w:color w:val="auto"/>
          <w:sz w:val="22"/>
          <w:szCs w:val="22"/>
        </w:rPr>
      </w:pPr>
    </w:p>
    <w:tbl>
      <w:tblPr>
        <w:tblW w:w="7085" w:type="dxa"/>
        <w:tblInd w:w="675" w:type="dxa"/>
        <w:tblLook w:val="04A0" w:firstRow="1" w:lastRow="0" w:firstColumn="1" w:lastColumn="0" w:noHBand="0" w:noVBand="1"/>
      </w:tblPr>
      <w:tblGrid>
        <w:gridCol w:w="2465"/>
        <w:gridCol w:w="2240"/>
        <w:gridCol w:w="2380"/>
      </w:tblGrid>
      <w:tr w:rsidR="00BE7460" w:rsidRPr="00BE7460" w:rsidTr="00BE7460">
        <w:trPr>
          <w:trHeight w:val="315"/>
        </w:trPr>
        <w:tc>
          <w:tcPr>
            <w:tcW w:w="246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BE7460" w:rsidRPr="00BE7460" w:rsidRDefault="00BE7460" w:rsidP="00BE7460">
            <w:pPr>
              <w:spacing w:after="0" w:line="240" w:lineRule="auto"/>
              <w:jc w:val="center"/>
              <w:rPr>
                <w:rFonts w:ascii="Calibri" w:eastAsia="Times New Roman" w:hAnsi="Calibri" w:cs="Calibri"/>
                <w:b/>
                <w:bCs/>
                <w:color w:val="FFFFFF"/>
                <w:sz w:val="24"/>
                <w:szCs w:val="24"/>
                <w:lang w:eastAsia="en-GB"/>
              </w:rPr>
            </w:pPr>
            <w:r w:rsidRPr="00BE7460">
              <w:rPr>
                <w:rFonts w:ascii="Calibri" w:eastAsia="Times New Roman" w:hAnsi="Calibri" w:cs="Calibri"/>
                <w:b/>
                <w:bCs/>
                <w:color w:val="FFFFFF"/>
                <w:sz w:val="24"/>
                <w:szCs w:val="24"/>
                <w:lang w:eastAsia="en-GB"/>
              </w:rPr>
              <w:t>ISP</w:t>
            </w:r>
          </w:p>
        </w:tc>
        <w:tc>
          <w:tcPr>
            <w:tcW w:w="2240" w:type="dxa"/>
            <w:tcBorders>
              <w:top w:val="single" w:sz="4" w:space="0" w:color="auto"/>
              <w:left w:val="nil"/>
              <w:bottom w:val="single" w:sz="4" w:space="0" w:color="auto"/>
              <w:right w:val="single" w:sz="4" w:space="0" w:color="auto"/>
            </w:tcBorders>
            <w:shd w:val="clear" w:color="000000" w:fill="000000"/>
            <w:noWrap/>
            <w:vAlign w:val="bottom"/>
            <w:hideMark/>
          </w:tcPr>
          <w:p w:rsidR="00BE7460" w:rsidRPr="00BE7460" w:rsidRDefault="00BE7460" w:rsidP="00BE7460">
            <w:pPr>
              <w:spacing w:after="0" w:line="240" w:lineRule="auto"/>
              <w:jc w:val="center"/>
              <w:rPr>
                <w:rFonts w:ascii="Calibri" w:eastAsia="Times New Roman" w:hAnsi="Calibri" w:cs="Calibri"/>
                <w:b/>
                <w:bCs/>
                <w:color w:val="FFFFFF"/>
                <w:sz w:val="24"/>
                <w:szCs w:val="24"/>
                <w:lang w:eastAsia="en-GB"/>
              </w:rPr>
            </w:pPr>
            <w:r w:rsidRPr="00BE7460">
              <w:rPr>
                <w:rFonts w:ascii="Calibri" w:eastAsia="Times New Roman" w:hAnsi="Calibri" w:cs="Calibri"/>
                <w:b/>
                <w:bCs/>
                <w:color w:val="FFFFFF"/>
                <w:sz w:val="24"/>
                <w:szCs w:val="24"/>
                <w:lang w:eastAsia="en-GB"/>
              </w:rPr>
              <w:t>Volume Per Day</w:t>
            </w:r>
          </w:p>
        </w:tc>
        <w:tc>
          <w:tcPr>
            <w:tcW w:w="2380" w:type="dxa"/>
            <w:tcBorders>
              <w:top w:val="single" w:sz="4" w:space="0" w:color="auto"/>
              <w:left w:val="nil"/>
              <w:bottom w:val="single" w:sz="4" w:space="0" w:color="auto"/>
              <w:right w:val="single" w:sz="4" w:space="0" w:color="auto"/>
            </w:tcBorders>
            <w:shd w:val="clear" w:color="000000" w:fill="000000"/>
            <w:noWrap/>
            <w:vAlign w:val="bottom"/>
            <w:hideMark/>
          </w:tcPr>
          <w:p w:rsidR="00BE7460" w:rsidRPr="00BE7460" w:rsidRDefault="00BE7460" w:rsidP="00BE7460">
            <w:pPr>
              <w:spacing w:after="0" w:line="240" w:lineRule="auto"/>
              <w:jc w:val="center"/>
              <w:rPr>
                <w:rFonts w:ascii="Calibri" w:eastAsia="Times New Roman" w:hAnsi="Calibri" w:cs="Calibri"/>
                <w:b/>
                <w:bCs/>
                <w:color w:val="FFFFFF"/>
                <w:sz w:val="24"/>
                <w:szCs w:val="24"/>
                <w:lang w:eastAsia="en-GB"/>
              </w:rPr>
            </w:pPr>
            <w:r w:rsidRPr="00BE7460">
              <w:rPr>
                <w:rFonts w:ascii="Calibri" w:eastAsia="Times New Roman" w:hAnsi="Calibri" w:cs="Calibri"/>
                <w:b/>
                <w:bCs/>
                <w:color w:val="FFFFFF"/>
                <w:sz w:val="24"/>
                <w:szCs w:val="24"/>
                <w:lang w:eastAsia="en-GB"/>
              </w:rPr>
              <w:t>Total Volume</w:t>
            </w:r>
          </w:p>
        </w:tc>
      </w:tr>
      <w:tr w:rsidR="00BE7460" w:rsidRPr="00BE7460" w:rsidTr="00BE7460">
        <w:trPr>
          <w:trHeight w:val="315"/>
        </w:trPr>
        <w:tc>
          <w:tcPr>
            <w:tcW w:w="2465" w:type="dxa"/>
            <w:tcBorders>
              <w:top w:val="nil"/>
              <w:left w:val="single" w:sz="4" w:space="0" w:color="auto"/>
              <w:bottom w:val="single" w:sz="4" w:space="0" w:color="auto"/>
              <w:right w:val="single" w:sz="4" w:space="0" w:color="auto"/>
            </w:tcBorders>
            <w:shd w:val="clear" w:color="auto" w:fill="auto"/>
            <w:noWrap/>
            <w:vAlign w:val="bottom"/>
            <w:hideMark/>
          </w:tcPr>
          <w:p w:rsidR="00BE7460" w:rsidRPr="00BE7460" w:rsidRDefault="00BE7460" w:rsidP="00BE7460">
            <w:pPr>
              <w:spacing w:after="0" w:line="240" w:lineRule="auto"/>
              <w:ind w:firstLineChars="100" w:firstLine="241"/>
              <w:rPr>
                <w:rFonts w:ascii="Calibri" w:eastAsia="Times New Roman" w:hAnsi="Calibri" w:cs="Calibri"/>
                <w:b/>
                <w:bCs/>
                <w:color w:val="000000"/>
                <w:sz w:val="24"/>
                <w:szCs w:val="24"/>
                <w:lang w:eastAsia="en-GB"/>
              </w:rPr>
            </w:pPr>
            <w:r w:rsidRPr="00BE7460">
              <w:rPr>
                <w:rFonts w:ascii="Calibri" w:eastAsia="Times New Roman" w:hAnsi="Calibri" w:cs="Calibri"/>
                <w:b/>
                <w:bCs/>
                <w:color w:val="000000"/>
                <w:sz w:val="24"/>
                <w:szCs w:val="24"/>
                <w:lang w:eastAsia="en-GB"/>
              </w:rPr>
              <w:t>AOL</w:t>
            </w:r>
          </w:p>
        </w:tc>
        <w:tc>
          <w:tcPr>
            <w:tcW w:w="2240" w:type="dxa"/>
            <w:tcBorders>
              <w:top w:val="nil"/>
              <w:left w:val="nil"/>
              <w:bottom w:val="single" w:sz="4" w:space="0" w:color="auto"/>
              <w:right w:val="single" w:sz="4" w:space="0" w:color="auto"/>
            </w:tcBorders>
            <w:shd w:val="clear" w:color="auto" w:fill="auto"/>
            <w:noWrap/>
            <w:vAlign w:val="bottom"/>
            <w:hideMark/>
          </w:tcPr>
          <w:p w:rsidR="00BE7460" w:rsidRPr="00BE7460" w:rsidRDefault="00BE7460" w:rsidP="00BE7460">
            <w:pPr>
              <w:spacing w:after="0" w:line="240" w:lineRule="auto"/>
              <w:jc w:val="right"/>
              <w:rPr>
                <w:rFonts w:ascii="Calibri" w:eastAsia="Times New Roman" w:hAnsi="Calibri" w:cs="Calibri"/>
                <w:color w:val="000000"/>
                <w:sz w:val="24"/>
                <w:szCs w:val="24"/>
                <w:lang w:eastAsia="en-GB"/>
              </w:rPr>
            </w:pPr>
            <w:r w:rsidRPr="00BE7460">
              <w:rPr>
                <w:rFonts w:ascii="Calibri" w:eastAsia="Times New Roman" w:hAnsi="Calibri" w:cs="Calibri"/>
                <w:color w:val="000000"/>
                <w:sz w:val="24"/>
                <w:szCs w:val="24"/>
                <w:lang w:eastAsia="en-GB"/>
              </w:rPr>
              <w:t xml:space="preserve">                          3,500 </w:t>
            </w:r>
          </w:p>
        </w:tc>
        <w:tc>
          <w:tcPr>
            <w:tcW w:w="2380" w:type="dxa"/>
            <w:tcBorders>
              <w:top w:val="nil"/>
              <w:left w:val="nil"/>
              <w:bottom w:val="single" w:sz="4" w:space="0" w:color="auto"/>
              <w:right w:val="single" w:sz="4" w:space="0" w:color="auto"/>
            </w:tcBorders>
            <w:shd w:val="clear" w:color="auto" w:fill="auto"/>
            <w:noWrap/>
            <w:vAlign w:val="bottom"/>
            <w:hideMark/>
          </w:tcPr>
          <w:p w:rsidR="00BE7460" w:rsidRPr="00BE7460" w:rsidRDefault="00BE7460" w:rsidP="00BE7460">
            <w:pPr>
              <w:spacing w:after="0" w:line="240" w:lineRule="auto"/>
              <w:jc w:val="right"/>
              <w:rPr>
                <w:rFonts w:ascii="Calibri" w:eastAsia="Times New Roman" w:hAnsi="Calibri" w:cs="Calibri"/>
                <w:color w:val="000000"/>
                <w:sz w:val="24"/>
                <w:szCs w:val="24"/>
                <w:lang w:eastAsia="en-GB"/>
              </w:rPr>
            </w:pPr>
            <w:r w:rsidRPr="00BE7460">
              <w:rPr>
                <w:rFonts w:ascii="Calibri" w:eastAsia="Times New Roman" w:hAnsi="Calibri" w:cs="Calibri"/>
                <w:color w:val="000000"/>
                <w:sz w:val="24"/>
                <w:szCs w:val="24"/>
                <w:lang w:eastAsia="en-GB"/>
              </w:rPr>
              <w:t xml:space="preserve">                          24,500 </w:t>
            </w:r>
          </w:p>
        </w:tc>
      </w:tr>
      <w:tr w:rsidR="00BE7460" w:rsidRPr="00BE7460" w:rsidTr="00BE7460">
        <w:trPr>
          <w:trHeight w:val="315"/>
        </w:trPr>
        <w:tc>
          <w:tcPr>
            <w:tcW w:w="2465" w:type="dxa"/>
            <w:tcBorders>
              <w:top w:val="nil"/>
              <w:left w:val="single" w:sz="4" w:space="0" w:color="auto"/>
              <w:bottom w:val="single" w:sz="4" w:space="0" w:color="auto"/>
              <w:right w:val="single" w:sz="4" w:space="0" w:color="auto"/>
            </w:tcBorders>
            <w:shd w:val="clear" w:color="auto" w:fill="auto"/>
            <w:noWrap/>
            <w:vAlign w:val="bottom"/>
            <w:hideMark/>
          </w:tcPr>
          <w:p w:rsidR="00BE7460" w:rsidRPr="00BE7460" w:rsidRDefault="00BE7460" w:rsidP="00BE7460">
            <w:pPr>
              <w:spacing w:after="0" w:line="240" w:lineRule="auto"/>
              <w:ind w:firstLineChars="100" w:firstLine="241"/>
              <w:rPr>
                <w:rFonts w:ascii="Calibri" w:eastAsia="Times New Roman" w:hAnsi="Calibri" w:cs="Calibri"/>
                <w:b/>
                <w:bCs/>
                <w:color w:val="000000"/>
                <w:sz w:val="24"/>
                <w:szCs w:val="24"/>
                <w:lang w:eastAsia="en-GB"/>
              </w:rPr>
            </w:pPr>
            <w:r w:rsidRPr="00BE7460">
              <w:rPr>
                <w:rFonts w:ascii="Calibri" w:eastAsia="Times New Roman" w:hAnsi="Calibri" w:cs="Calibri"/>
                <w:b/>
                <w:bCs/>
                <w:color w:val="000000"/>
                <w:sz w:val="24"/>
                <w:szCs w:val="24"/>
                <w:lang w:eastAsia="en-GB"/>
              </w:rPr>
              <w:t>Gmail</w:t>
            </w:r>
          </w:p>
        </w:tc>
        <w:tc>
          <w:tcPr>
            <w:tcW w:w="2240" w:type="dxa"/>
            <w:tcBorders>
              <w:top w:val="nil"/>
              <w:left w:val="nil"/>
              <w:bottom w:val="single" w:sz="4" w:space="0" w:color="auto"/>
              <w:right w:val="single" w:sz="4" w:space="0" w:color="auto"/>
            </w:tcBorders>
            <w:shd w:val="clear" w:color="auto" w:fill="auto"/>
            <w:noWrap/>
            <w:vAlign w:val="bottom"/>
            <w:hideMark/>
          </w:tcPr>
          <w:p w:rsidR="00BE7460" w:rsidRPr="00BE7460" w:rsidRDefault="00BE7460" w:rsidP="00BE7460">
            <w:pPr>
              <w:spacing w:after="0" w:line="240" w:lineRule="auto"/>
              <w:jc w:val="right"/>
              <w:rPr>
                <w:rFonts w:ascii="Calibri" w:eastAsia="Times New Roman" w:hAnsi="Calibri" w:cs="Calibri"/>
                <w:color w:val="000000"/>
                <w:sz w:val="24"/>
                <w:szCs w:val="24"/>
                <w:lang w:eastAsia="en-GB"/>
              </w:rPr>
            </w:pPr>
            <w:r w:rsidRPr="00BE7460">
              <w:rPr>
                <w:rFonts w:ascii="Calibri" w:eastAsia="Times New Roman" w:hAnsi="Calibri" w:cs="Calibri"/>
                <w:color w:val="000000"/>
                <w:sz w:val="24"/>
                <w:szCs w:val="24"/>
                <w:lang w:eastAsia="en-GB"/>
              </w:rPr>
              <w:t xml:space="preserve">                          5,000 </w:t>
            </w:r>
          </w:p>
        </w:tc>
        <w:tc>
          <w:tcPr>
            <w:tcW w:w="2380" w:type="dxa"/>
            <w:tcBorders>
              <w:top w:val="nil"/>
              <w:left w:val="nil"/>
              <w:bottom w:val="single" w:sz="4" w:space="0" w:color="auto"/>
              <w:right w:val="single" w:sz="4" w:space="0" w:color="auto"/>
            </w:tcBorders>
            <w:shd w:val="clear" w:color="auto" w:fill="auto"/>
            <w:noWrap/>
            <w:vAlign w:val="bottom"/>
            <w:hideMark/>
          </w:tcPr>
          <w:p w:rsidR="00BE7460" w:rsidRPr="00BE7460" w:rsidRDefault="00BE7460" w:rsidP="00BE7460">
            <w:pPr>
              <w:spacing w:after="0" w:line="240" w:lineRule="auto"/>
              <w:jc w:val="right"/>
              <w:rPr>
                <w:rFonts w:ascii="Calibri" w:eastAsia="Times New Roman" w:hAnsi="Calibri" w:cs="Calibri"/>
                <w:color w:val="000000"/>
                <w:sz w:val="24"/>
                <w:szCs w:val="24"/>
                <w:lang w:eastAsia="en-GB"/>
              </w:rPr>
            </w:pPr>
            <w:r w:rsidRPr="00BE7460">
              <w:rPr>
                <w:rFonts w:ascii="Calibri" w:eastAsia="Times New Roman" w:hAnsi="Calibri" w:cs="Calibri"/>
                <w:color w:val="000000"/>
                <w:sz w:val="24"/>
                <w:szCs w:val="24"/>
                <w:lang w:eastAsia="en-GB"/>
              </w:rPr>
              <w:t xml:space="preserve">                          35,000 </w:t>
            </w:r>
          </w:p>
        </w:tc>
      </w:tr>
      <w:tr w:rsidR="00BE7460" w:rsidRPr="00BE7460" w:rsidTr="00BE7460">
        <w:trPr>
          <w:trHeight w:val="315"/>
        </w:trPr>
        <w:tc>
          <w:tcPr>
            <w:tcW w:w="2465" w:type="dxa"/>
            <w:tcBorders>
              <w:top w:val="nil"/>
              <w:left w:val="single" w:sz="4" w:space="0" w:color="auto"/>
              <w:bottom w:val="single" w:sz="4" w:space="0" w:color="auto"/>
              <w:right w:val="single" w:sz="4" w:space="0" w:color="auto"/>
            </w:tcBorders>
            <w:shd w:val="clear" w:color="auto" w:fill="auto"/>
            <w:noWrap/>
            <w:vAlign w:val="bottom"/>
            <w:hideMark/>
          </w:tcPr>
          <w:p w:rsidR="00BE7460" w:rsidRPr="00BE7460" w:rsidRDefault="00BE7460" w:rsidP="00BE7460">
            <w:pPr>
              <w:spacing w:after="0" w:line="240" w:lineRule="auto"/>
              <w:ind w:firstLineChars="100" w:firstLine="241"/>
              <w:rPr>
                <w:rFonts w:ascii="Calibri" w:eastAsia="Times New Roman" w:hAnsi="Calibri" w:cs="Calibri"/>
                <w:b/>
                <w:bCs/>
                <w:color w:val="000000"/>
                <w:sz w:val="24"/>
                <w:szCs w:val="24"/>
                <w:lang w:eastAsia="en-GB"/>
              </w:rPr>
            </w:pPr>
            <w:r w:rsidRPr="00BE7460">
              <w:rPr>
                <w:rFonts w:ascii="Calibri" w:eastAsia="Times New Roman" w:hAnsi="Calibri" w:cs="Calibri"/>
                <w:b/>
                <w:bCs/>
                <w:color w:val="000000"/>
                <w:sz w:val="24"/>
                <w:szCs w:val="24"/>
                <w:lang w:eastAsia="en-GB"/>
              </w:rPr>
              <w:t>MSN/Hotmail</w:t>
            </w:r>
          </w:p>
        </w:tc>
        <w:tc>
          <w:tcPr>
            <w:tcW w:w="2240" w:type="dxa"/>
            <w:tcBorders>
              <w:top w:val="nil"/>
              <w:left w:val="nil"/>
              <w:bottom w:val="single" w:sz="4" w:space="0" w:color="auto"/>
              <w:right w:val="single" w:sz="4" w:space="0" w:color="auto"/>
            </w:tcBorders>
            <w:shd w:val="clear" w:color="auto" w:fill="auto"/>
            <w:noWrap/>
            <w:vAlign w:val="bottom"/>
            <w:hideMark/>
          </w:tcPr>
          <w:p w:rsidR="00BE7460" w:rsidRPr="00BE7460" w:rsidRDefault="00BE7460" w:rsidP="00BE7460">
            <w:pPr>
              <w:spacing w:after="0" w:line="240" w:lineRule="auto"/>
              <w:jc w:val="right"/>
              <w:rPr>
                <w:rFonts w:ascii="Calibri" w:eastAsia="Times New Roman" w:hAnsi="Calibri" w:cs="Calibri"/>
                <w:color w:val="000000"/>
                <w:sz w:val="24"/>
                <w:szCs w:val="24"/>
                <w:lang w:eastAsia="en-GB"/>
              </w:rPr>
            </w:pPr>
            <w:r w:rsidRPr="00BE7460">
              <w:rPr>
                <w:rFonts w:ascii="Calibri" w:eastAsia="Times New Roman" w:hAnsi="Calibri" w:cs="Calibri"/>
                <w:color w:val="000000"/>
                <w:sz w:val="24"/>
                <w:szCs w:val="24"/>
                <w:lang w:eastAsia="en-GB"/>
              </w:rPr>
              <w:t xml:space="preserve">                        10,000 </w:t>
            </w:r>
          </w:p>
        </w:tc>
        <w:tc>
          <w:tcPr>
            <w:tcW w:w="2380" w:type="dxa"/>
            <w:tcBorders>
              <w:top w:val="nil"/>
              <w:left w:val="nil"/>
              <w:bottom w:val="single" w:sz="4" w:space="0" w:color="auto"/>
              <w:right w:val="single" w:sz="4" w:space="0" w:color="auto"/>
            </w:tcBorders>
            <w:shd w:val="clear" w:color="auto" w:fill="auto"/>
            <w:noWrap/>
            <w:vAlign w:val="bottom"/>
            <w:hideMark/>
          </w:tcPr>
          <w:p w:rsidR="00BE7460" w:rsidRPr="00BE7460" w:rsidRDefault="00BE7460" w:rsidP="00BE7460">
            <w:pPr>
              <w:spacing w:after="0" w:line="240" w:lineRule="auto"/>
              <w:jc w:val="right"/>
              <w:rPr>
                <w:rFonts w:ascii="Calibri" w:eastAsia="Times New Roman" w:hAnsi="Calibri" w:cs="Calibri"/>
                <w:color w:val="000000"/>
                <w:sz w:val="24"/>
                <w:szCs w:val="24"/>
                <w:lang w:eastAsia="en-GB"/>
              </w:rPr>
            </w:pPr>
            <w:r w:rsidRPr="00BE7460">
              <w:rPr>
                <w:rFonts w:ascii="Calibri" w:eastAsia="Times New Roman" w:hAnsi="Calibri" w:cs="Calibri"/>
                <w:color w:val="000000"/>
                <w:sz w:val="24"/>
                <w:szCs w:val="24"/>
                <w:lang w:eastAsia="en-GB"/>
              </w:rPr>
              <w:t xml:space="preserve">                          70,000 </w:t>
            </w:r>
          </w:p>
        </w:tc>
      </w:tr>
      <w:tr w:rsidR="00BE7460" w:rsidRPr="00BE7460" w:rsidTr="00BE7460">
        <w:trPr>
          <w:trHeight w:val="315"/>
        </w:trPr>
        <w:tc>
          <w:tcPr>
            <w:tcW w:w="2465" w:type="dxa"/>
            <w:tcBorders>
              <w:top w:val="nil"/>
              <w:left w:val="single" w:sz="4" w:space="0" w:color="auto"/>
              <w:bottom w:val="single" w:sz="4" w:space="0" w:color="auto"/>
              <w:right w:val="single" w:sz="4" w:space="0" w:color="auto"/>
            </w:tcBorders>
            <w:shd w:val="clear" w:color="auto" w:fill="auto"/>
            <w:noWrap/>
            <w:vAlign w:val="bottom"/>
            <w:hideMark/>
          </w:tcPr>
          <w:p w:rsidR="00BE7460" w:rsidRPr="00BE7460" w:rsidRDefault="00BE7460" w:rsidP="00BE7460">
            <w:pPr>
              <w:spacing w:after="0" w:line="240" w:lineRule="auto"/>
              <w:ind w:firstLineChars="100" w:firstLine="241"/>
              <w:rPr>
                <w:rFonts w:ascii="Calibri" w:eastAsia="Times New Roman" w:hAnsi="Calibri" w:cs="Calibri"/>
                <w:b/>
                <w:bCs/>
                <w:color w:val="000000"/>
                <w:sz w:val="24"/>
                <w:szCs w:val="24"/>
                <w:lang w:eastAsia="en-GB"/>
              </w:rPr>
            </w:pPr>
            <w:r w:rsidRPr="00BE7460">
              <w:rPr>
                <w:rFonts w:ascii="Calibri" w:eastAsia="Times New Roman" w:hAnsi="Calibri" w:cs="Calibri"/>
                <w:b/>
                <w:bCs/>
                <w:color w:val="000000"/>
                <w:sz w:val="24"/>
                <w:szCs w:val="24"/>
                <w:lang w:eastAsia="en-GB"/>
              </w:rPr>
              <w:t>Virgin</w:t>
            </w:r>
          </w:p>
        </w:tc>
        <w:tc>
          <w:tcPr>
            <w:tcW w:w="2240" w:type="dxa"/>
            <w:tcBorders>
              <w:top w:val="nil"/>
              <w:left w:val="nil"/>
              <w:bottom w:val="single" w:sz="4" w:space="0" w:color="auto"/>
              <w:right w:val="single" w:sz="4" w:space="0" w:color="auto"/>
            </w:tcBorders>
            <w:shd w:val="clear" w:color="auto" w:fill="auto"/>
            <w:noWrap/>
            <w:vAlign w:val="bottom"/>
            <w:hideMark/>
          </w:tcPr>
          <w:p w:rsidR="00BE7460" w:rsidRPr="00BE7460" w:rsidRDefault="00BE7460" w:rsidP="00BE7460">
            <w:pPr>
              <w:spacing w:after="0" w:line="240" w:lineRule="auto"/>
              <w:jc w:val="right"/>
              <w:rPr>
                <w:rFonts w:ascii="Calibri" w:eastAsia="Times New Roman" w:hAnsi="Calibri" w:cs="Calibri"/>
                <w:color w:val="000000"/>
                <w:sz w:val="24"/>
                <w:szCs w:val="24"/>
                <w:lang w:eastAsia="en-GB"/>
              </w:rPr>
            </w:pPr>
            <w:r w:rsidRPr="00BE7460">
              <w:rPr>
                <w:rFonts w:ascii="Calibri" w:eastAsia="Times New Roman" w:hAnsi="Calibri" w:cs="Calibri"/>
                <w:color w:val="000000"/>
                <w:sz w:val="24"/>
                <w:szCs w:val="24"/>
                <w:lang w:eastAsia="en-GB"/>
              </w:rPr>
              <w:t xml:space="preserve">                          2,500 </w:t>
            </w:r>
          </w:p>
        </w:tc>
        <w:tc>
          <w:tcPr>
            <w:tcW w:w="2380" w:type="dxa"/>
            <w:tcBorders>
              <w:top w:val="nil"/>
              <w:left w:val="nil"/>
              <w:bottom w:val="single" w:sz="4" w:space="0" w:color="auto"/>
              <w:right w:val="single" w:sz="4" w:space="0" w:color="auto"/>
            </w:tcBorders>
            <w:shd w:val="clear" w:color="auto" w:fill="auto"/>
            <w:noWrap/>
            <w:vAlign w:val="bottom"/>
            <w:hideMark/>
          </w:tcPr>
          <w:p w:rsidR="00BE7460" w:rsidRPr="00BE7460" w:rsidRDefault="00BE7460" w:rsidP="00BE7460">
            <w:pPr>
              <w:spacing w:after="0" w:line="240" w:lineRule="auto"/>
              <w:jc w:val="right"/>
              <w:rPr>
                <w:rFonts w:ascii="Calibri" w:eastAsia="Times New Roman" w:hAnsi="Calibri" w:cs="Calibri"/>
                <w:color w:val="000000"/>
                <w:sz w:val="24"/>
                <w:szCs w:val="24"/>
                <w:lang w:eastAsia="en-GB"/>
              </w:rPr>
            </w:pPr>
            <w:r w:rsidRPr="00BE7460">
              <w:rPr>
                <w:rFonts w:ascii="Calibri" w:eastAsia="Times New Roman" w:hAnsi="Calibri" w:cs="Calibri"/>
                <w:color w:val="000000"/>
                <w:sz w:val="24"/>
                <w:szCs w:val="24"/>
                <w:lang w:eastAsia="en-GB"/>
              </w:rPr>
              <w:t xml:space="preserve">                          17,500 </w:t>
            </w:r>
          </w:p>
        </w:tc>
      </w:tr>
      <w:tr w:rsidR="00BE7460" w:rsidRPr="00BE7460" w:rsidTr="00BE7460">
        <w:trPr>
          <w:trHeight w:val="315"/>
        </w:trPr>
        <w:tc>
          <w:tcPr>
            <w:tcW w:w="2465" w:type="dxa"/>
            <w:tcBorders>
              <w:top w:val="nil"/>
              <w:left w:val="single" w:sz="4" w:space="0" w:color="auto"/>
              <w:bottom w:val="single" w:sz="4" w:space="0" w:color="auto"/>
              <w:right w:val="single" w:sz="4" w:space="0" w:color="auto"/>
            </w:tcBorders>
            <w:shd w:val="clear" w:color="auto" w:fill="auto"/>
            <w:noWrap/>
            <w:vAlign w:val="bottom"/>
            <w:hideMark/>
          </w:tcPr>
          <w:p w:rsidR="00BE7460" w:rsidRPr="00BE7460" w:rsidRDefault="00BE7460" w:rsidP="00BE7460">
            <w:pPr>
              <w:spacing w:after="0" w:line="240" w:lineRule="auto"/>
              <w:ind w:firstLineChars="100" w:firstLine="241"/>
              <w:rPr>
                <w:rFonts w:ascii="Calibri" w:eastAsia="Times New Roman" w:hAnsi="Calibri" w:cs="Calibri"/>
                <w:b/>
                <w:bCs/>
                <w:color w:val="000000"/>
                <w:sz w:val="24"/>
                <w:szCs w:val="24"/>
                <w:lang w:eastAsia="en-GB"/>
              </w:rPr>
            </w:pPr>
            <w:r w:rsidRPr="00BE7460">
              <w:rPr>
                <w:rFonts w:ascii="Calibri" w:eastAsia="Times New Roman" w:hAnsi="Calibri" w:cs="Calibri"/>
                <w:b/>
                <w:bCs/>
                <w:color w:val="000000"/>
                <w:sz w:val="24"/>
                <w:szCs w:val="24"/>
                <w:lang w:eastAsia="en-GB"/>
              </w:rPr>
              <w:t>Yahoo</w:t>
            </w:r>
          </w:p>
        </w:tc>
        <w:tc>
          <w:tcPr>
            <w:tcW w:w="2240" w:type="dxa"/>
            <w:tcBorders>
              <w:top w:val="nil"/>
              <w:left w:val="nil"/>
              <w:bottom w:val="single" w:sz="4" w:space="0" w:color="auto"/>
              <w:right w:val="single" w:sz="4" w:space="0" w:color="auto"/>
            </w:tcBorders>
            <w:shd w:val="clear" w:color="auto" w:fill="auto"/>
            <w:noWrap/>
            <w:vAlign w:val="bottom"/>
            <w:hideMark/>
          </w:tcPr>
          <w:p w:rsidR="00BE7460" w:rsidRPr="00BE7460" w:rsidRDefault="00BE7460" w:rsidP="00BE7460">
            <w:pPr>
              <w:spacing w:after="0" w:line="240" w:lineRule="auto"/>
              <w:jc w:val="right"/>
              <w:rPr>
                <w:rFonts w:ascii="Calibri" w:eastAsia="Times New Roman" w:hAnsi="Calibri" w:cs="Calibri"/>
                <w:color w:val="000000"/>
                <w:sz w:val="24"/>
                <w:szCs w:val="24"/>
                <w:lang w:eastAsia="en-GB"/>
              </w:rPr>
            </w:pPr>
            <w:r w:rsidRPr="00BE7460">
              <w:rPr>
                <w:rFonts w:ascii="Calibri" w:eastAsia="Times New Roman" w:hAnsi="Calibri" w:cs="Calibri"/>
                <w:color w:val="000000"/>
                <w:sz w:val="24"/>
                <w:szCs w:val="24"/>
                <w:lang w:eastAsia="en-GB"/>
              </w:rPr>
              <w:t xml:space="preserve">                          5,000 </w:t>
            </w:r>
          </w:p>
        </w:tc>
        <w:tc>
          <w:tcPr>
            <w:tcW w:w="2380" w:type="dxa"/>
            <w:tcBorders>
              <w:top w:val="nil"/>
              <w:left w:val="nil"/>
              <w:bottom w:val="single" w:sz="4" w:space="0" w:color="auto"/>
              <w:right w:val="single" w:sz="4" w:space="0" w:color="auto"/>
            </w:tcBorders>
            <w:shd w:val="clear" w:color="auto" w:fill="auto"/>
            <w:noWrap/>
            <w:vAlign w:val="bottom"/>
            <w:hideMark/>
          </w:tcPr>
          <w:p w:rsidR="00BE7460" w:rsidRPr="00BE7460" w:rsidRDefault="00BE7460" w:rsidP="00BE7460">
            <w:pPr>
              <w:spacing w:after="0" w:line="240" w:lineRule="auto"/>
              <w:jc w:val="right"/>
              <w:rPr>
                <w:rFonts w:ascii="Calibri" w:eastAsia="Times New Roman" w:hAnsi="Calibri" w:cs="Calibri"/>
                <w:color w:val="000000"/>
                <w:sz w:val="24"/>
                <w:szCs w:val="24"/>
                <w:lang w:eastAsia="en-GB"/>
              </w:rPr>
            </w:pPr>
            <w:r w:rsidRPr="00BE7460">
              <w:rPr>
                <w:rFonts w:ascii="Calibri" w:eastAsia="Times New Roman" w:hAnsi="Calibri" w:cs="Calibri"/>
                <w:color w:val="000000"/>
                <w:sz w:val="24"/>
                <w:szCs w:val="24"/>
                <w:lang w:eastAsia="en-GB"/>
              </w:rPr>
              <w:t xml:space="preserve">                          35,000 </w:t>
            </w:r>
          </w:p>
        </w:tc>
      </w:tr>
      <w:tr w:rsidR="00BE7460" w:rsidRPr="00BE7460" w:rsidTr="00BE7460">
        <w:trPr>
          <w:trHeight w:val="315"/>
        </w:trPr>
        <w:tc>
          <w:tcPr>
            <w:tcW w:w="2465" w:type="dxa"/>
            <w:tcBorders>
              <w:top w:val="nil"/>
              <w:left w:val="single" w:sz="4" w:space="0" w:color="auto"/>
              <w:bottom w:val="single" w:sz="4" w:space="0" w:color="auto"/>
              <w:right w:val="single" w:sz="4" w:space="0" w:color="auto"/>
            </w:tcBorders>
            <w:shd w:val="clear" w:color="auto" w:fill="auto"/>
            <w:noWrap/>
            <w:vAlign w:val="bottom"/>
            <w:hideMark/>
          </w:tcPr>
          <w:p w:rsidR="00BE7460" w:rsidRPr="00BE7460" w:rsidRDefault="00BE7460" w:rsidP="00BE7460">
            <w:pPr>
              <w:spacing w:after="0" w:line="240" w:lineRule="auto"/>
              <w:ind w:firstLineChars="100" w:firstLine="241"/>
              <w:rPr>
                <w:rFonts w:ascii="Calibri" w:eastAsia="Times New Roman" w:hAnsi="Calibri" w:cs="Calibri"/>
                <w:b/>
                <w:bCs/>
                <w:color w:val="000000"/>
                <w:sz w:val="24"/>
                <w:szCs w:val="24"/>
                <w:lang w:eastAsia="en-GB"/>
              </w:rPr>
            </w:pPr>
            <w:r w:rsidRPr="00BE7460">
              <w:rPr>
                <w:rFonts w:ascii="Calibri" w:eastAsia="Times New Roman" w:hAnsi="Calibri" w:cs="Calibri"/>
                <w:b/>
                <w:bCs/>
                <w:color w:val="000000"/>
                <w:sz w:val="24"/>
                <w:szCs w:val="24"/>
                <w:lang w:eastAsia="en-GB"/>
              </w:rPr>
              <w:t>Other</w:t>
            </w:r>
          </w:p>
        </w:tc>
        <w:tc>
          <w:tcPr>
            <w:tcW w:w="2240" w:type="dxa"/>
            <w:tcBorders>
              <w:top w:val="nil"/>
              <w:left w:val="nil"/>
              <w:bottom w:val="single" w:sz="4" w:space="0" w:color="auto"/>
              <w:right w:val="single" w:sz="4" w:space="0" w:color="auto"/>
            </w:tcBorders>
            <w:shd w:val="clear" w:color="auto" w:fill="auto"/>
            <w:noWrap/>
            <w:vAlign w:val="bottom"/>
            <w:hideMark/>
          </w:tcPr>
          <w:p w:rsidR="00BE7460" w:rsidRPr="00BE7460" w:rsidRDefault="00BE7460" w:rsidP="00BE7460">
            <w:pPr>
              <w:spacing w:after="0" w:line="240" w:lineRule="auto"/>
              <w:jc w:val="right"/>
              <w:rPr>
                <w:rFonts w:ascii="Calibri" w:eastAsia="Times New Roman" w:hAnsi="Calibri" w:cs="Calibri"/>
                <w:color w:val="000000"/>
                <w:sz w:val="24"/>
                <w:szCs w:val="24"/>
                <w:lang w:eastAsia="en-GB"/>
              </w:rPr>
            </w:pPr>
            <w:r w:rsidRPr="00BE7460">
              <w:rPr>
                <w:rFonts w:ascii="Calibri" w:eastAsia="Times New Roman" w:hAnsi="Calibri" w:cs="Calibri"/>
                <w:color w:val="000000"/>
                <w:sz w:val="24"/>
                <w:szCs w:val="24"/>
                <w:lang w:eastAsia="en-GB"/>
              </w:rPr>
              <w:t>Unlimited</w:t>
            </w:r>
          </w:p>
        </w:tc>
        <w:tc>
          <w:tcPr>
            <w:tcW w:w="2380" w:type="dxa"/>
            <w:tcBorders>
              <w:top w:val="nil"/>
              <w:left w:val="nil"/>
              <w:bottom w:val="single" w:sz="4" w:space="0" w:color="auto"/>
              <w:right w:val="single" w:sz="4" w:space="0" w:color="auto"/>
            </w:tcBorders>
            <w:shd w:val="clear" w:color="auto" w:fill="auto"/>
            <w:noWrap/>
            <w:vAlign w:val="bottom"/>
            <w:hideMark/>
          </w:tcPr>
          <w:p w:rsidR="00BE7460" w:rsidRPr="00BE7460" w:rsidRDefault="00BE7460" w:rsidP="00BE7460">
            <w:pPr>
              <w:spacing w:after="0" w:line="240" w:lineRule="auto"/>
              <w:jc w:val="right"/>
              <w:rPr>
                <w:rFonts w:ascii="Calibri" w:eastAsia="Times New Roman" w:hAnsi="Calibri" w:cs="Calibri"/>
                <w:color w:val="000000"/>
                <w:sz w:val="24"/>
                <w:szCs w:val="24"/>
                <w:lang w:eastAsia="en-GB"/>
              </w:rPr>
            </w:pPr>
            <w:r w:rsidRPr="00BE7460">
              <w:rPr>
                <w:rFonts w:ascii="Calibri" w:eastAsia="Times New Roman" w:hAnsi="Calibri" w:cs="Calibri"/>
                <w:color w:val="000000"/>
                <w:sz w:val="24"/>
                <w:szCs w:val="24"/>
                <w:lang w:eastAsia="en-GB"/>
              </w:rPr>
              <w:t>Single</w:t>
            </w:r>
          </w:p>
        </w:tc>
      </w:tr>
    </w:tbl>
    <w:p w:rsidR="00BE7460" w:rsidRDefault="00BE7460" w:rsidP="009B4752">
      <w:pPr>
        <w:pStyle w:val="Default"/>
        <w:rPr>
          <w:color w:val="auto"/>
          <w:sz w:val="22"/>
          <w:szCs w:val="22"/>
        </w:rPr>
      </w:pPr>
    </w:p>
    <w:p w:rsidR="00BE7460" w:rsidRDefault="00BE7460" w:rsidP="009B4752">
      <w:pPr>
        <w:pStyle w:val="Default"/>
        <w:rPr>
          <w:color w:val="auto"/>
          <w:sz w:val="22"/>
          <w:szCs w:val="22"/>
        </w:rPr>
      </w:pPr>
    </w:p>
    <w:p w:rsidR="009B4752" w:rsidRPr="009B4752" w:rsidRDefault="009B4752" w:rsidP="009B4752">
      <w:pPr>
        <w:rPr>
          <w:rFonts w:ascii="Arial" w:hAnsi="Arial" w:cs="Arial"/>
        </w:rPr>
      </w:pPr>
      <w:r w:rsidRPr="009B4752">
        <w:rPr>
          <w:rFonts w:ascii="Arial" w:hAnsi="Arial" w:cs="Arial"/>
        </w:rPr>
        <w:t>If a list does not have the recommended maximum totals as shown adjust the daily campaign launch limits to provide an even number of daily emails to the specific domain during the warm-up period.</w:t>
      </w:r>
    </w:p>
    <w:p w:rsidR="009B4752" w:rsidRPr="009B4752" w:rsidRDefault="009B4752" w:rsidP="009B4752">
      <w:pPr>
        <w:rPr>
          <w:rFonts w:ascii="Arial" w:hAnsi="Arial" w:cs="Arial"/>
        </w:rPr>
      </w:pPr>
      <w:r w:rsidRPr="009B4752">
        <w:rPr>
          <w:rFonts w:ascii="Arial" w:hAnsi="Arial" w:cs="Arial"/>
        </w:rPr>
        <w:t>The warm-up campaign process typically lasts seven (7) days (“warm-up” week). However, this time could vary depending upon the spam complaint and bounce rate metrics from the warm-up week launches and the desired daily launch volume. (Please see the “Acceptable Rates of Bounces and Spam Complaints” section near the end of this document for further information about acceptable metrics for a positive reputation.)</w:t>
      </w:r>
    </w:p>
    <w:p w:rsidR="000D43C6" w:rsidRDefault="00076A6E" w:rsidP="009B4752">
      <w:pPr>
        <w:rPr>
          <w:rFonts w:ascii="Arial" w:hAnsi="Arial" w:cs="Arial"/>
        </w:rPr>
      </w:pPr>
      <w:r w:rsidRPr="009B4752">
        <w:rPr>
          <w:rFonts w:ascii="Arial" w:hAnsi="Arial" w:cs="Arial"/>
        </w:rPr>
        <w:t xml:space="preserve">There are several other domains controlled by the major ISPs. Recipients from these domains should be included in the </w:t>
      </w:r>
      <w:r w:rsidR="003C530C">
        <w:rPr>
          <w:rFonts w:ascii="Arial" w:hAnsi="Arial" w:cs="Arial"/>
        </w:rPr>
        <w:t xml:space="preserve">relevant </w:t>
      </w:r>
      <w:r w:rsidRPr="009B4752">
        <w:rPr>
          <w:rFonts w:ascii="Arial" w:hAnsi="Arial" w:cs="Arial"/>
        </w:rPr>
        <w:t>warm-up list if possible.</w:t>
      </w:r>
      <w:r>
        <w:rPr>
          <w:rFonts w:ascii="Arial" w:hAnsi="Arial" w:cs="Arial"/>
        </w:rPr>
        <w:t xml:space="preserve"> </w:t>
      </w:r>
      <w:r w:rsidR="009B4752" w:rsidRPr="009B4752">
        <w:rPr>
          <w:rFonts w:ascii="Arial" w:hAnsi="Arial" w:cs="Arial"/>
        </w:rPr>
        <w:t xml:space="preserve">The list created should include global email addresses for the major ISPs shown </w:t>
      </w:r>
      <w:r>
        <w:rPr>
          <w:rFonts w:ascii="Arial" w:hAnsi="Arial" w:cs="Arial"/>
        </w:rPr>
        <w:t>in the table below:</w:t>
      </w:r>
      <w:r w:rsidR="009B4752" w:rsidRPr="009B4752">
        <w:rPr>
          <w:rFonts w:ascii="Arial" w:hAnsi="Arial" w:cs="Arial"/>
        </w:rPr>
        <w:t xml:space="preserve"> </w:t>
      </w:r>
    </w:p>
    <w:tbl>
      <w:tblPr>
        <w:tblW w:w="5043" w:type="pct"/>
        <w:tblLook w:val="04A0" w:firstRow="1" w:lastRow="0" w:firstColumn="1" w:lastColumn="0" w:noHBand="0" w:noVBand="1"/>
      </w:tblPr>
      <w:tblGrid>
        <w:gridCol w:w="1847"/>
        <w:gridCol w:w="1256"/>
        <w:gridCol w:w="1575"/>
        <w:gridCol w:w="2708"/>
        <w:gridCol w:w="2331"/>
      </w:tblGrid>
      <w:tr w:rsidR="00F74AAD" w:rsidRPr="00F74AAD" w:rsidTr="008F3336">
        <w:trPr>
          <w:trHeight w:val="315"/>
        </w:trPr>
        <w:tc>
          <w:tcPr>
            <w:tcW w:w="942" w:type="pct"/>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F74AAD" w:rsidRPr="00F74AAD" w:rsidRDefault="00F74AAD" w:rsidP="00F74AAD">
            <w:pPr>
              <w:spacing w:after="0" w:line="240" w:lineRule="auto"/>
              <w:jc w:val="center"/>
              <w:rPr>
                <w:rFonts w:ascii="Calibri" w:eastAsia="Times New Roman" w:hAnsi="Calibri" w:cs="Calibri"/>
                <w:b/>
                <w:bCs/>
                <w:color w:val="FFFFFF"/>
                <w:sz w:val="24"/>
                <w:szCs w:val="24"/>
                <w:lang w:eastAsia="en-GB"/>
              </w:rPr>
            </w:pPr>
            <w:r w:rsidRPr="00F74AAD">
              <w:rPr>
                <w:rFonts w:ascii="Calibri" w:eastAsia="Times New Roman" w:hAnsi="Calibri" w:cs="Calibri"/>
                <w:b/>
                <w:bCs/>
                <w:color w:val="FFFFFF"/>
                <w:sz w:val="24"/>
                <w:szCs w:val="24"/>
                <w:lang w:eastAsia="en-GB"/>
              </w:rPr>
              <w:t>AOL</w:t>
            </w:r>
          </w:p>
        </w:tc>
        <w:tc>
          <w:tcPr>
            <w:tcW w:w="643" w:type="pct"/>
            <w:tcBorders>
              <w:top w:val="single" w:sz="4" w:space="0" w:color="auto"/>
              <w:left w:val="nil"/>
              <w:bottom w:val="single" w:sz="4" w:space="0" w:color="auto"/>
              <w:right w:val="single" w:sz="4" w:space="0" w:color="auto"/>
            </w:tcBorders>
            <w:shd w:val="clear" w:color="000000" w:fill="000000"/>
            <w:noWrap/>
            <w:vAlign w:val="center"/>
            <w:hideMark/>
          </w:tcPr>
          <w:p w:rsidR="00F74AAD" w:rsidRPr="00F74AAD" w:rsidRDefault="00F74AAD" w:rsidP="00F74AAD">
            <w:pPr>
              <w:spacing w:after="0" w:line="240" w:lineRule="auto"/>
              <w:jc w:val="center"/>
              <w:rPr>
                <w:rFonts w:ascii="Calibri" w:eastAsia="Times New Roman" w:hAnsi="Calibri" w:cs="Calibri"/>
                <w:b/>
                <w:bCs/>
                <w:color w:val="FFFFFF"/>
                <w:sz w:val="24"/>
                <w:szCs w:val="24"/>
                <w:lang w:eastAsia="en-GB"/>
              </w:rPr>
            </w:pPr>
            <w:r w:rsidRPr="00F74AAD">
              <w:rPr>
                <w:rFonts w:ascii="Calibri" w:eastAsia="Times New Roman" w:hAnsi="Calibri" w:cs="Calibri"/>
                <w:b/>
                <w:bCs/>
                <w:color w:val="FFFFFF"/>
                <w:sz w:val="24"/>
                <w:szCs w:val="24"/>
                <w:lang w:eastAsia="en-GB"/>
              </w:rPr>
              <w:t>GMAIL</w:t>
            </w:r>
          </w:p>
        </w:tc>
        <w:tc>
          <w:tcPr>
            <w:tcW w:w="805" w:type="pct"/>
            <w:tcBorders>
              <w:top w:val="single" w:sz="4" w:space="0" w:color="auto"/>
              <w:left w:val="nil"/>
              <w:bottom w:val="single" w:sz="4" w:space="0" w:color="auto"/>
              <w:right w:val="single" w:sz="4" w:space="0" w:color="auto"/>
            </w:tcBorders>
            <w:shd w:val="clear" w:color="000000" w:fill="000000"/>
            <w:noWrap/>
            <w:vAlign w:val="center"/>
            <w:hideMark/>
          </w:tcPr>
          <w:p w:rsidR="00F74AAD" w:rsidRPr="00F74AAD" w:rsidRDefault="00F74AAD" w:rsidP="00F74AAD">
            <w:pPr>
              <w:spacing w:after="0" w:line="240" w:lineRule="auto"/>
              <w:jc w:val="center"/>
              <w:rPr>
                <w:rFonts w:ascii="Calibri" w:eastAsia="Times New Roman" w:hAnsi="Calibri" w:cs="Calibri"/>
                <w:b/>
                <w:bCs/>
                <w:color w:val="FFFFFF"/>
                <w:sz w:val="24"/>
                <w:szCs w:val="24"/>
                <w:lang w:eastAsia="en-GB"/>
              </w:rPr>
            </w:pPr>
            <w:r w:rsidRPr="00F74AAD">
              <w:rPr>
                <w:rFonts w:ascii="Calibri" w:eastAsia="Times New Roman" w:hAnsi="Calibri" w:cs="Calibri"/>
                <w:b/>
                <w:bCs/>
                <w:color w:val="FFFFFF"/>
                <w:sz w:val="24"/>
                <w:szCs w:val="24"/>
                <w:lang w:eastAsia="en-GB"/>
              </w:rPr>
              <w:t>MSN</w:t>
            </w:r>
          </w:p>
        </w:tc>
        <w:tc>
          <w:tcPr>
            <w:tcW w:w="1379" w:type="pct"/>
            <w:tcBorders>
              <w:top w:val="single" w:sz="4" w:space="0" w:color="auto"/>
              <w:left w:val="nil"/>
              <w:bottom w:val="single" w:sz="4" w:space="0" w:color="auto"/>
              <w:right w:val="single" w:sz="4" w:space="0" w:color="auto"/>
            </w:tcBorders>
            <w:shd w:val="clear" w:color="000000" w:fill="000000"/>
            <w:noWrap/>
            <w:vAlign w:val="center"/>
            <w:hideMark/>
          </w:tcPr>
          <w:p w:rsidR="00F74AAD" w:rsidRPr="00F74AAD" w:rsidRDefault="00F74AAD" w:rsidP="00F74AAD">
            <w:pPr>
              <w:spacing w:after="0" w:line="240" w:lineRule="auto"/>
              <w:jc w:val="center"/>
              <w:rPr>
                <w:rFonts w:ascii="Calibri" w:eastAsia="Times New Roman" w:hAnsi="Calibri" w:cs="Calibri"/>
                <w:b/>
                <w:bCs/>
                <w:color w:val="FFFFFF"/>
                <w:sz w:val="24"/>
                <w:szCs w:val="24"/>
                <w:lang w:eastAsia="en-GB"/>
              </w:rPr>
            </w:pPr>
            <w:r w:rsidRPr="00F74AAD">
              <w:rPr>
                <w:rFonts w:ascii="Calibri" w:eastAsia="Times New Roman" w:hAnsi="Calibri" w:cs="Calibri"/>
                <w:b/>
                <w:bCs/>
                <w:color w:val="FFFFFF"/>
                <w:sz w:val="24"/>
                <w:szCs w:val="24"/>
                <w:lang w:eastAsia="en-GB"/>
              </w:rPr>
              <w:t>VIRGIN</w:t>
            </w:r>
          </w:p>
        </w:tc>
        <w:tc>
          <w:tcPr>
            <w:tcW w:w="1231" w:type="pct"/>
            <w:tcBorders>
              <w:top w:val="single" w:sz="4" w:space="0" w:color="auto"/>
              <w:left w:val="nil"/>
              <w:bottom w:val="single" w:sz="4" w:space="0" w:color="auto"/>
              <w:right w:val="single" w:sz="4" w:space="0" w:color="auto"/>
            </w:tcBorders>
            <w:shd w:val="clear" w:color="000000" w:fill="000000"/>
            <w:noWrap/>
            <w:vAlign w:val="center"/>
            <w:hideMark/>
          </w:tcPr>
          <w:p w:rsidR="00F74AAD" w:rsidRPr="00F74AAD" w:rsidRDefault="00F74AAD" w:rsidP="00F74AAD">
            <w:pPr>
              <w:spacing w:after="0" w:line="240" w:lineRule="auto"/>
              <w:jc w:val="center"/>
              <w:rPr>
                <w:rFonts w:ascii="Calibri" w:eastAsia="Times New Roman" w:hAnsi="Calibri" w:cs="Calibri"/>
                <w:b/>
                <w:bCs/>
                <w:color w:val="FFFFFF"/>
                <w:sz w:val="24"/>
                <w:szCs w:val="24"/>
                <w:lang w:eastAsia="en-GB"/>
              </w:rPr>
            </w:pPr>
            <w:r w:rsidRPr="00F74AAD">
              <w:rPr>
                <w:rFonts w:ascii="Calibri" w:eastAsia="Times New Roman" w:hAnsi="Calibri" w:cs="Calibri"/>
                <w:b/>
                <w:bCs/>
                <w:color w:val="FFFFFF"/>
                <w:sz w:val="24"/>
                <w:szCs w:val="24"/>
                <w:lang w:eastAsia="en-GB"/>
              </w:rPr>
              <w:t>YAHOO</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1aol.com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gmail.co.uk</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hotmail</w:t>
            </w:r>
            <w:proofErr w:type="spellEnd"/>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ntlworld</w:t>
            </w:r>
            <w:proofErr w:type="spellEnd"/>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btbroadbandoffice.com</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2aol.com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google.com</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live</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virgin</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btbusinessoffice.com</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3aol.com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googlemail</w:t>
            </w:r>
            <w:proofErr w:type="spellEnd"/>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msn</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virginmedia</w:t>
            </w:r>
            <w:proofErr w:type="spellEnd"/>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btclick.com</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4aol.com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prodigy.net.mx</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virginmedia.blackberry.com</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btconnect.com</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5aol.com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q.com</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btinternet.com</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6aol.com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windowslive</w:t>
            </w:r>
            <w:proofErr w:type="spellEnd"/>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btopenworld.com</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7aol.com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qwest</w:t>
            </w:r>
            <w:proofErr w:type="spellEnd"/>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rocketmail.com</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8aol.com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webtv</w:t>
            </w:r>
            <w:proofErr w:type="spellEnd"/>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sbcglobal.net</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9aol.com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AB3614"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r w:rsidR="00AB3614">
              <w:rPr>
                <w:rFonts w:ascii="Calibri" w:eastAsia="Times New Roman" w:hAnsi="Calibri" w:cs="Calibri"/>
                <w:color w:val="000000"/>
                <w:lang w:eastAsia="en-GB"/>
              </w:rPr>
              <w:t>Outlook</w:t>
            </w:r>
            <w:bookmarkStart w:id="0" w:name="_GoBack"/>
            <w:bookmarkEnd w:id="0"/>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talk21.com</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aim.com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yahoo</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aol</w:t>
            </w:r>
            <w:proofErr w:type="spellEnd"/>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yahoo.com.au</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aol.com.ar</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yahoo.com.cn</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aol.com.au</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yahoo.com.hk</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aol.com.br</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yahoo.com.mx</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aol.com.mx</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yahoo.com.sg</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aol.com.pr</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yahoo.com.tw</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aolmail.com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ymail.com</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compuserve.com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ameritech.net</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cs.com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flash.net</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dial.pipex</w:t>
            </w:r>
            <w:proofErr w:type="spellEnd"/>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pacbell.net</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gateway</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prodigy.net</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homechoice.co.uk</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swbell.net</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jp.aol.com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nvbell.net</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netscape</w:t>
            </w:r>
            <w:proofErr w:type="spellEnd"/>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snet.net</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pipex.it</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att.com</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talktalk</w:t>
            </w:r>
            <w:proofErr w:type="spellEnd"/>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att.net</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tiscali</w:t>
            </w:r>
            <w:proofErr w:type="spellEnd"/>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worldnet.att.net</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tiscalinet</w:t>
            </w:r>
            <w:proofErr w:type="spellEnd"/>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rogers.com</w:t>
            </w:r>
          </w:p>
        </w:tc>
      </w:tr>
      <w:tr w:rsidR="00F74AAD" w:rsidRPr="00F74AAD" w:rsidTr="008F3336">
        <w:trPr>
          <w:trHeight w:val="300"/>
        </w:trPr>
        <w:tc>
          <w:tcPr>
            <w:tcW w:w="942" w:type="pct"/>
            <w:tcBorders>
              <w:top w:val="nil"/>
              <w:left w:val="single" w:sz="4" w:space="0" w:color="auto"/>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wmconnect.com</w:t>
            </w:r>
          </w:p>
        </w:tc>
        <w:tc>
          <w:tcPr>
            <w:tcW w:w="643"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805"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379" w:type="pct"/>
            <w:tcBorders>
              <w:top w:val="nil"/>
              <w:left w:val="nil"/>
              <w:bottom w:val="single" w:sz="4" w:space="0" w:color="auto"/>
              <w:right w:val="single" w:sz="4" w:space="0" w:color="auto"/>
            </w:tcBorders>
            <w:shd w:val="clear" w:color="auto" w:fill="auto"/>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r w:rsidRPr="00F74AAD">
              <w:rPr>
                <w:rFonts w:ascii="Calibri" w:eastAsia="Times New Roman" w:hAnsi="Calibri" w:cs="Calibri"/>
                <w:color w:val="000000"/>
                <w:lang w:eastAsia="en-GB"/>
              </w:rPr>
              <w:t> </w:t>
            </w:r>
          </w:p>
        </w:tc>
        <w:tc>
          <w:tcPr>
            <w:tcW w:w="1231" w:type="pct"/>
            <w:tcBorders>
              <w:top w:val="nil"/>
              <w:left w:val="nil"/>
              <w:bottom w:val="single" w:sz="4" w:space="0" w:color="auto"/>
              <w:right w:val="single" w:sz="4" w:space="0" w:color="auto"/>
            </w:tcBorders>
            <w:shd w:val="clear" w:color="000000" w:fill="EBF1DE"/>
            <w:noWrap/>
            <w:vAlign w:val="bottom"/>
            <w:hideMark/>
          </w:tcPr>
          <w:p w:rsidR="00F74AAD" w:rsidRPr="00F74AAD" w:rsidRDefault="00F74AAD" w:rsidP="00F74AAD">
            <w:pPr>
              <w:spacing w:after="0" w:line="240" w:lineRule="auto"/>
              <w:rPr>
                <w:rFonts w:ascii="Calibri" w:eastAsia="Times New Roman" w:hAnsi="Calibri" w:cs="Calibri"/>
                <w:color w:val="000000"/>
                <w:lang w:eastAsia="en-GB"/>
              </w:rPr>
            </w:pPr>
            <w:proofErr w:type="spellStart"/>
            <w:r w:rsidRPr="00F74AAD">
              <w:rPr>
                <w:rFonts w:ascii="Calibri" w:eastAsia="Times New Roman" w:hAnsi="Calibri" w:cs="Calibri"/>
                <w:color w:val="000000"/>
                <w:lang w:eastAsia="en-GB"/>
              </w:rPr>
              <w:t>bellsouth</w:t>
            </w:r>
            <w:proofErr w:type="spellEnd"/>
          </w:p>
        </w:tc>
      </w:tr>
    </w:tbl>
    <w:p w:rsidR="009B4752" w:rsidRDefault="009B4752" w:rsidP="009B4752">
      <w:pPr>
        <w:rPr>
          <w:rFonts w:ascii="Arial" w:hAnsi="Arial" w:cs="Arial"/>
        </w:rPr>
      </w:pPr>
    </w:p>
    <w:p w:rsidR="009B4752" w:rsidRDefault="009B4752" w:rsidP="009B4752">
      <w:pPr>
        <w:rPr>
          <w:rFonts w:ascii="Arial" w:hAnsi="Arial" w:cs="Arial"/>
        </w:rPr>
      </w:pPr>
    </w:p>
    <w:p w:rsidR="00091B47" w:rsidRDefault="0070480F" w:rsidP="004479D5">
      <w:pPr>
        <w:pStyle w:val="Heading1"/>
        <w:rPr>
          <w:u w:val="single"/>
        </w:rPr>
      </w:pPr>
      <w:r>
        <w:rPr>
          <w:u w:val="single"/>
        </w:rPr>
        <w:t>1</w:t>
      </w:r>
      <w:r w:rsidR="00091B47" w:rsidRPr="004479D5">
        <w:rPr>
          <w:u w:val="single"/>
        </w:rPr>
        <w:t>.4 Message Content Guidelines</w:t>
      </w:r>
    </w:p>
    <w:p w:rsidR="004479D5" w:rsidRPr="004479D5" w:rsidRDefault="004479D5" w:rsidP="004479D5">
      <w:pPr>
        <w:contextualSpacing/>
      </w:pPr>
    </w:p>
    <w:p w:rsidR="005159CA" w:rsidRDefault="005159CA" w:rsidP="00091B47">
      <w:pPr>
        <w:rPr>
          <w:rFonts w:ascii="Arial" w:hAnsi="Arial" w:cs="Arial"/>
        </w:rPr>
      </w:pPr>
      <w:r w:rsidRPr="005159CA">
        <w:rPr>
          <w:rFonts w:ascii="Arial" w:hAnsi="Arial" w:cs="Arial"/>
        </w:rPr>
        <w:t xml:space="preserve">During the reputation building period the best warm-up campaigns (and initial campaigns following the warm-up) are those that your subscribers will recognise as being from a brand they trust and are most likely to respond to positively. Messages that are clearly branded/in-line with your </w:t>
      </w:r>
      <w:proofErr w:type="gramStart"/>
      <w:r w:rsidRPr="005159CA">
        <w:rPr>
          <w:rFonts w:ascii="Arial" w:hAnsi="Arial" w:cs="Arial"/>
        </w:rPr>
        <w:t>brand,</w:t>
      </w:r>
      <w:proofErr w:type="gramEnd"/>
      <w:r w:rsidRPr="005159CA">
        <w:rPr>
          <w:rFonts w:ascii="Arial" w:hAnsi="Arial" w:cs="Arial"/>
        </w:rPr>
        <w:t xml:space="preserve"> encourage response and demonstrate to the recipient the benefits of receiving mail from you are ideal.</w:t>
      </w:r>
    </w:p>
    <w:p w:rsidR="00091B47" w:rsidRPr="00091B47" w:rsidRDefault="006F6F41" w:rsidP="00091B47">
      <w:pPr>
        <w:rPr>
          <w:rFonts w:ascii="Arial" w:hAnsi="Arial" w:cs="Arial"/>
        </w:rPr>
      </w:pPr>
      <w:r>
        <w:rPr>
          <w:rFonts w:ascii="Arial" w:hAnsi="Arial" w:cs="Arial"/>
        </w:rPr>
        <w:t>Email campaigns that promote and reward a customer’s loyalty are also desirable.</w:t>
      </w:r>
    </w:p>
    <w:p w:rsidR="002B6518" w:rsidRDefault="0091055B" w:rsidP="00091B47">
      <w:pPr>
        <w:rPr>
          <w:rFonts w:ascii="Arial" w:hAnsi="Arial" w:cs="Arial"/>
        </w:rPr>
      </w:pPr>
      <w:r>
        <w:rPr>
          <w:rFonts w:ascii="Arial" w:hAnsi="Arial" w:cs="Arial"/>
        </w:rPr>
        <w:t>Re-activation, up</w:t>
      </w:r>
      <w:r w:rsidR="00091B47" w:rsidRPr="00091B47">
        <w:rPr>
          <w:rFonts w:ascii="Arial" w:hAnsi="Arial" w:cs="Arial"/>
        </w:rPr>
        <w:t xml:space="preserve">sell, lead generation campaigns, or the like naturally have a higher bounce rate and spam complaint rate and an IP address with a neutral reputation or short reputation history does not have enough history to weather the natural spikes of the more aggressive promotional campaigns. </w:t>
      </w:r>
    </w:p>
    <w:p w:rsidR="00091B47" w:rsidRPr="00091B47" w:rsidRDefault="00091B47" w:rsidP="00091B47">
      <w:pPr>
        <w:rPr>
          <w:rFonts w:ascii="Arial" w:hAnsi="Arial" w:cs="Arial"/>
        </w:rPr>
      </w:pPr>
      <w:r w:rsidRPr="00091B47">
        <w:rPr>
          <w:rFonts w:ascii="Arial" w:hAnsi="Arial" w:cs="Arial"/>
        </w:rPr>
        <w:t xml:space="preserve">The reasoning is akin to a financial credit score </w:t>
      </w:r>
      <w:r w:rsidR="002B6518">
        <w:rPr>
          <w:rFonts w:ascii="Arial" w:hAnsi="Arial" w:cs="Arial"/>
        </w:rPr>
        <w:t xml:space="preserve">– if </w:t>
      </w:r>
      <w:r w:rsidRPr="00091B47">
        <w:rPr>
          <w:rFonts w:ascii="Arial" w:hAnsi="Arial" w:cs="Arial"/>
        </w:rPr>
        <w:t>your credit history is short, so creditors provide you a low spending limit, and after establishing a consistent payment history and history of responsible spending the creditors increase your credit limit and give you allowances for small blips that may occur in your credit life.</w:t>
      </w:r>
    </w:p>
    <w:p w:rsidR="009B4752" w:rsidRDefault="00091B47" w:rsidP="00091B47">
      <w:pPr>
        <w:rPr>
          <w:rFonts w:ascii="Arial" w:hAnsi="Arial" w:cs="Arial"/>
        </w:rPr>
      </w:pPr>
      <w:r w:rsidRPr="00091B47">
        <w:rPr>
          <w:rFonts w:ascii="Arial" w:hAnsi="Arial" w:cs="Arial"/>
        </w:rPr>
        <w:t>Recipients are quite choosey when scanning their inboxes and can delete or mark a message as spam based on the “from” address, sender name or subject without opening the message. Clearly stating the customer's brand in these</w:t>
      </w:r>
      <w:r>
        <w:rPr>
          <w:rFonts w:ascii="Arial" w:hAnsi="Arial" w:cs="Arial"/>
        </w:rPr>
        <w:t xml:space="preserve"> </w:t>
      </w:r>
      <w:r w:rsidRPr="00091B47">
        <w:rPr>
          <w:rFonts w:ascii="Arial" w:hAnsi="Arial" w:cs="Arial"/>
        </w:rPr>
        <w:t>locations as obviously as possible should help keep the customer's spam complaint rate low.</w:t>
      </w:r>
    </w:p>
    <w:p w:rsidR="00076A6E" w:rsidRDefault="00076A6E" w:rsidP="00091B47">
      <w:pPr>
        <w:rPr>
          <w:rFonts w:ascii="Arial" w:hAnsi="Arial" w:cs="Arial"/>
        </w:rPr>
      </w:pPr>
      <w:r>
        <w:rPr>
          <w:rFonts w:ascii="Arial" w:hAnsi="Arial" w:cs="Arial"/>
        </w:rPr>
        <w:t xml:space="preserve">Where possible, recipients should also be encouraged to add this new “from” address to any ‘safe’ list or ‘trusted source’ list provided by </w:t>
      </w:r>
      <w:r w:rsidR="00346DD6">
        <w:rPr>
          <w:rFonts w:ascii="Arial" w:hAnsi="Arial" w:cs="Arial"/>
        </w:rPr>
        <w:t>their</w:t>
      </w:r>
      <w:r>
        <w:rPr>
          <w:rFonts w:ascii="Arial" w:hAnsi="Arial" w:cs="Arial"/>
        </w:rPr>
        <w:t xml:space="preserve"> ISP as this will dramatically improve a new </w:t>
      </w:r>
      <w:r w:rsidR="00346DD6">
        <w:rPr>
          <w:rFonts w:ascii="Arial" w:hAnsi="Arial" w:cs="Arial"/>
        </w:rPr>
        <w:t>sender’s</w:t>
      </w:r>
      <w:r>
        <w:rPr>
          <w:rFonts w:ascii="Arial" w:hAnsi="Arial" w:cs="Arial"/>
        </w:rPr>
        <w:t xml:space="preserve"> reputation.</w:t>
      </w:r>
    </w:p>
    <w:p w:rsidR="00091B47" w:rsidRPr="004479D5" w:rsidRDefault="0070480F" w:rsidP="004479D5">
      <w:pPr>
        <w:pStyle w:val="Heading1"/>
        <w:rPr>
          <w:u w:val="single"/>
        </w:rPr>
      </w:pPr>
      <w:r>
        <w:rPr>
          <w:u w:val="single"/>
        </w:rPr>
        <w:t>1</w:t>
      </w:r>
      <w:r w:rsidR="00091B47" w:rsidRPr="004479D5">
        <w:rPr>
          <w:u w:val="single"/>
        </w:rPr>
        <w:t>.</w:t>
      </w:r>
      <w:r>
        <w:rPr>
          <w:u w:val="single"/>
        </w:rPr>
        <w:t>5</w:t>
      </w:r>
      <w:r w:rsidR="00091B47" w:rsidRPr="004479D5">
        <w:rPr>
          <w:u w:val="single"/>
        </w:rPr>
        <w:t xml:space="preserve"> Final Steps to Complete the Warm-up Process</w:t>
      </w:r>
    </w:p>
    <w:p w:rsidR="00091B47" w:rsidRPr="00091B47" w:rsidRDefault="00076A6E" w:rsidP="00091B47">
      <w:pPr>
        <w:rPr>
          <w:rFonts w:ascii="Arial" w:hAnsi="Arial" w:cs="Arial"/>
        </w:rPr>
      </w:pPr>
      <w:r>
        <w:rPr>
          <w:rFonts w:ascii="Arial" w:hAnsi="Arial" w:cs="Arial"/>
        </w:rPr>
        <w:t>Assuming everything has gone successfully there are one or two final checks that should be completed before</w:t>
      </w:r>
      <w:r w:rsidR="00260607">
        <w:rPr>
          <w:rFonts w:ascii="Arial" w:hAnsi="Arial" w:cs="Arial"/>
        </w:rPr>
        <w:t xml:space="preserve"> finishing any White Listing Campaign.</w:t>
      </w:r>
    </w:p>
    <w:p w:rsidR="00091B47" w:rsidRPr="004479D5" w:rsidRDefault="0070480F" w:rsidP="004479D5">
      <w:pPr>
        <w:pStyle w:val="Heading1"/>
        <w:rPr>
          <w:u w:val="single"/>
        </w:rPr>
      </w:pPr>
      <w:r>
        <w:rPr>
          <w:u w:val="single"/>
        </w:rPr>
        <w:t>1.5</w:t>
      </w:r>
      <w:r w:rsidR="00091B47" w:rsidRPr="004479D5">
        <w:rPr>
          <w:u w:val="single"/>
        </w:rPr>
        <w:t xml:space="preserve">.1 Ensure ISP White </w:t>
      </w:r>
      <w:proofErr w:type="gramStart"/>
      <w:r w:rsidR="00091B47" w:rsidRPr="004479D5">
        <w:rPr>
          <w:u w:val="single"/>
        </w:rPr>
        <w:t>Listing</w:t>
      </w:r>
      <w:proofErr w:type="gramEnd"/>
      <w:r w:rsidR="00091B47" w:rsidRPr="004479D5">
        <w:rPr>
          <w:u w:val="single"/>
        </w:rPr>
        <w:t xml:space="preserve"> has Completed Before Sending</w:t>
      </w:r>
    </w:p>
    <w:p w:rsidR="00091B47" w:rsidRPr="00091B47" w:rsidRDefault="00260607" w:rsidP="00091B47">
      <w:pPr>
        <w:rPr>
          <w:rFonts w:ascii="Arial" w:hAnsi="Arial" w:cs="Arial"/>
        </w:rPr>
      </w:pPr>
      <w:r>
        <w:rPr>
          <w:rFonts w:ascii="Arial" w:hAnsi="Arial" w:cs="Arial"/>
        </w:rPr>
        <w:t xml:space="preserve">Consult with Alchemy </w:t>
      </w:r>
      <w:proofErr w:type="spellStart"/>
      <w:r>
        <w:rPr>
          <w:rFonts w:ascii="Arial" w:hAnsi="Arial" w:cs="Arial"/>
        </w:rPr>
        <w:t>Worx</w:t>
      </w:r>
      <w:proofErr w:type="spellEnd"/>
      <w:r>
        <w:rPr>
          <w:rFonts w:ascii="Arial" w:hAnsi="Arial" w:cs="Arial"/>
        </w:rPr>
        <w:t xml:space="preserve"> and the ESP in question</w:t>
      </w:r>
      <w:r w:rsidRPr="00091B47">
        <w:rPr>
          <w:rFonts w:ascii="Arial" w:hAnsi="Arial" w:cs="Arial"/>
        </w:rPr>
        <w:t xml:space="preserve"> to</w:t>
      </w:r>
      <w:r>
        <w:rPr>
          <w:rFonts w:ascii="Arial" w:hAnsi="Arial" w:cs="Arial"/>
        </w:rPr>
        <w:t xml:space="preserve"> confirm that the White Listing has complete</w:t>
      </w:r>
      <w:r w:rsidR="00091B47" w:rsidRPr="00091B47">
        <w:rPr>
          <w:rFonts w:ascii="Arial" w:hAnsi="Arial" w:cs="Arial"/>
        </w:rPr>
        <w:t>.</w:t>
      </w:r>
      <w:r>
        <w:rPr>
          <w:rFonts w:ascii="Arial" w:hAnsi="Arial" w:cs="Arial"/>
        </w:rPr>
        <w:t xml:space="preserve"> Most major ESP’s will have Deliverability Experts on hand to help you and who will often contact the ISP’s directly to ensure this certification.</w:t>
      </w:r>
    </w:p>
    <w:p w:rsidR="00091B47" w:rsidRPr="004479D5" w:rsidRDefault="0070480F" w:rsidP="004479D5">
      <w:pPr>
        <w:pStyle w:val="Heading1"/>
        <w:rPr>
          <w:u w:val="single"/>
        </w:rPr>
      </w:pPr>
      <w:r>
        <w:rPr>
          <w:u w:val="single"/>
        </w:rPr>
        <w:t>1.5</w:t>
      </w:r>
      <w:r w:rsidR="00091B47" w:rsidRPr="004479D5">
        <w:rPr>
          <w:u w:val="single"/>
        </w:rPr>
        <w:t>.2 Assess the Success of Your Warm-up Process.</w:t>
      </w:r>
    </w:p>
    <w:p w:rsidR="00091B47" w:rsidRPr="00091B47" w:rsidRDefault="00091B47" w:rsidP="00076A6E">
      <w:pPr>
        <w:rPr>
          <w:rFonts w:ascii="Arial" w:hAnsi="Arial" w:cs="Arial"/>
        </w:rPr>
      </w:pPr>
      <w:r w:rsidRPr="00091B47">
        <w:rPr>
          <w:rFonts w:ascii="Arial" w:hAnsi="Arial" w:cs="Arial"/>
        </w:rPr>
        <w:t>In order to understand the successful of the warm-up process, please review the following</w:t>
      </w:r>
      <w:r w:rsidR="00076A6E">
        <w:rPr>
          <w:rFonts w:ascii="Arial" w:hAnsi="Arial" w:cs="Arial"/>
        </w:rPr>
        <w:t>:</w:t>
      </w:r>
      <w:r w:rsidRPr="00091B47">
        <w:rPr>
          <w:rFonts w:ascii="Arial" w:hAnsi="Arial" w:cs="Arial"/>
        </w:rPr>
        <w:t xml:space="preserve"> </w:t>
      </w:r>
    </w:p>
    <w:p w:rsidR="00076A6E" w:rsidRDefault="00091B47" w:rsidP="00091B47">
      <w:pPr>
        <w:rPr>
          <w:rFonts w:ascii="Arial" w:hAnsi="Arial" w:cs="Arial"/>
        </w:rPr>
      </w:pPr>
      <w:r w:rsidRPr="00091B47">
        <w:rPr>
          <w:rFonts w:ascii="Arial" w:hAnsi="Arial" w:cs="Arial"/>
        </w:rPr>
        <w:t xml:space="preserve">Look for the bounce and complaint rates. Consult with </w:t>
      </w:r>
      <w:r w:rsidR="00076A6E">
        <w:rPr>
          <w:rFonts w:ascii="Arial" w:hAnsi="Arial" w:cs="Arial"/>
        </w:rPr>
        <w:t xml:space="preserve">Alchemy </w:t>
      </w:r>
      <w:proofErr w:type="spellStart"/>
      <w:r w:rsidR="00076A6E">
        <w:rPr>
          <w:rFonts w:ascii="Arial" w:hAnsi="Arial" w:cs="Arial"/>
        </w:rPr>
        <w:t>Worx</w:t>
      </w:r>
      <w:proofErr w:type="spellEnd"/>
      <w:r w:rsidR="00076A6E">
        <w:rPr>
          <w:rFonts w:ascii="Arial" w:hAnsi="Arial" w:cs="Arial"/>
        </w:rPr>
        <w:t xml:space="preserve"> and the ESP in question</w:t>
      </w:r>
      <w:r w:rsidRPr="00091B47">
        <w:rPr>
          <w:rFonts w:ascii="Arial" w:hAnsi="Arial" w:cs="Arial"/>
        </w:rPr>
        <w:t xml:space="preserve"> to determine if the mailings are within a “safe” range and under the ISP’s acceptable threshold to move forward. </w:t>
      </w:r>
    </w:p>
    <w:p w:rsidR="00091B47" w:rsidRPr="00091B47" w:rsidRDefault="00091B47" w:rsidP="00091B47">
      <w:pPr>
        <w:rPr>
          <w:rFonts w:ascii="Arial" w:hAnsi="Arial" w:cs="Arial"/>
        </w:rPr>
      </w:pPr>
      <w:r w:rsidRPr="00091B47">
        <w:rPr>
          <w:rFonts w:ascii="Arial" w:hAnsi="Arial" w:cs="Arial"/>
        </w:rPr>
        <w:lastRenderedPageBreak/>
        <w:t xml:space="preserve">Once these results have been evaluated it is safe to </w:t>
      </w:r>
      <w:proofErr w:type="gramStart"/>
      <w:r w:rsidRPr="00091B47">
        <w:rPr>
          <w:rFonts w:ascii="Arial" w:hAnsi="Arial" w:cs="Arial"/>
        </w:rPr>
        <w:t>migrate</w:t>
      </w:r>
      <w:proofErr w:type="gramEnd"/>
      <w:r w:rsidRPr="00091B47">
        <w:rPr>
          <w:rFonts w:ascii="Arial" w:hAnsi="Arial" w:cs="Arial"/>
        </w:rPr>
        <w:t xml:space="preserve"> the rest of the distribution list and send the first few campaigns.</w:t>
      </w:r>
    </w:p>
    <w:p w:rsidR="00091B47" w:rsidRDefault="00091B47" w:rsidP="00091B47">
      <w:pPr>
        <w:rPr>
          <w:rFonts w:ascii="Arial" w:hAnsi="Arial" w:cs="Arial"/>
        </w:rPr>
      </w:pPr>
      <w:r w:rsidRPr="00091B47">
        <w:rPr>
          <w:rFonts w:ascii="Arial" w:hAnsi="Arial" w:cs="Arial"/>
        </w:rPr>
        <w:t xml:space="preserve">During the IP address reputation building campaigns, it is important to keep the numbers of Spam </w:t>
      </w:r>
      <w:r w:rsidRPr="004479D5">
        <w:rPr>
          <w:rFonts w:ascii="Arial" w:hAnsi="Arial" w:cs="Arial"/>
          <w:color w:val="000000"/>
        </w:rPr>
        <w:t>Complaints and bounces low. As mentioned above, these numbers should be monitored</w:t>
      </w:r>
      <w:r w:rsidRPr="00091B47">
        <w:rPr>
          <w:rFonts w:ascii="Arial" w:hAnsi="Arial" w:cs="Arial"/>
        </w:rPr>
        <w:t xml:space="preserve"> on a daily basis.</w:t>
      </w:r>
      <w:r>
        <w:rPr>
          <w:rFonts w:ascii="Arial" w:hAnsi="Arial" w:cs="Arial"/>
        </w:rPr>
        <w:t xml:space="preserve"> </w:t>
      </w:r>
      <w:r w:rsidRPr="00091B47">
        <w:rPr>
          <w:rFonts w:ascii="Arial" w:hAnsi="Arial" w:cs="Arial"/>
        </w:rPr>
        <w:t>If these numbers get higher than the thresholds in the table below, please contact your Deliverability Consultant immediately.</w:t>
      </w:r>
    </w:p>
    <w:p w:rsidR="00091B47" w:rsidRDefault="00091B47" w:rsidP="00091B47">
      <w:pPr>
        <w:rPr>
          <w:rFonts w:ascii="Arial" w:hAnsi="Arial" w:cs="Arial"/>
        </w:rPr>
      </w:pPr>
    </w:p>
    <w:tbl>
      <w:tblPr>
        <w:tblW w:w="5000" w:type="pct"/>
        <w:tblLayout w:type="fixed"/>
        <w:tblLook w:val="04A0" w:firstRow="1" w:lastRow="0" w:firstColumn="1" w:lastColumn="0" w:noHBand="0" w:noVBand="1"/>
      </w:tblPr>
      <w:tblGrid>
        <w:gridCol w:w="1954"/>
        <w:gridCol w:w="1274"/>
        <w:gridCol w:w="1081"/>
        <w:gridCol w:w="1652"/>
        <w:gridCol w:w="1641"/>
        <w:gridCol w:w="1640"/>
      </w:tblGrid>
      <w:tr w:rsidR="00091B47" w:rsidRPr="00091B47" w:rsidTr="00091B47">
        <w:trPr>
          <w:trHeight w:val="300"/>
        </w:trPr>
        <w:tc>
          <w:tcPr>
            <w:tcW w:w="1057" w:type="pct"/>
            <w:tcBorders>
              <w:top w:val="single" w:sz="8" w:space="0" w:color="auto"/>
              <w:left w:val="single" w:sz="8" w:space="0" w:color="auto"/>
              <w:bottom w:val="nil"/>
              <w:right w:val="single" w:sz="4" w:space="0" w:color="auto"/>
            </w:tcBorders>
            <w:shd w:val="clear" w:color="000000" w:fill="000000"/>
            <w:noWrap/>
            <w:hideMark/>
          </w:tcPr>
          <w:p w:rsidR="00091B47" w:rsidRPr="00091B47" w:rsidRDefault="00091B47" w:rsidP="00091B47">
            <w:pPr>
              <w:spacing w:after="0" w:line="240" w:lineRule="auto"/>
              <w:rPr>
                <w:rFonts w:ascii="Calibri" w:eastAsia="Times New Roman" w:hAnsi="Calibri" w:cs="Calibri"/>
                <w:b/>
                <w:bCs/>
                <w:color w:val="000000"/>
                <w:lang w:eastAsia="en-GB"/>
              </w:rPr>
            </w:pPr>
            <w:r w:rsidRPr="00091B47">
              <w:rPr>
                <w:rFonts w:ascii="Calibri" w:eastAsia="Times New Roman" w:hAnsi="Calibri" w:cs="Calibri"/>
                <w:b/>
                <w:bCs/>
                <w:color w:val="000000"/>
                <w:lang w:eastAsia="en-GB"/>
              </w:rPr>
              <w:t>ISP</w:t>
            </w:r>
          </w:p>
        </w:tc>
        <w:tc>
          <w:tcPr>
            <w:tcW w:w="689" w:type="pct"/>
            <w:tcBorders>
              <w:top w:val="single" w:sz="8" w:space="0" w:color="auto"/>
              <w:left w:val="single" w:sz="8" w:space="0" w:color="auto"/>
              <w:bottom w:val="nil"/>
              <w:right w:val="single" w:sz="4" w:space="0" w:color="auto"/>
            </w:tcBorders>
            <w:shd w:val="clear" w:color="000000" w:fill="000000"/>
            <w:noWrap/>
            <w:vAlign w:val="center"/>
            <w:hideMark/>
          </w:tcPr>
          <w:p w:rsidR="00091B47" w:rsidRPr="00091B47" w:rsidRDefault="00091B47" w:rsidP="00091B47">
            <w:pPr>
              <w:spacing w:after="0" w:line="240" w:lineRule="auto"/>
              <w:jc w:val="center"/>
              <w:rPr>
                <w:rFonts w:ascii="Calibri" w:eastAsia="Times New Roman" w:hAnsi="Calibri" w:cs="Calibri"/>
                <w:b/>
                <w:bCs/>
                <w:color w:val="FFFFFF"/>
                <w:lang w:eastAsia="en-GB"/>
              </w:rPr>
            </w:pPr>
            <w:r w:rsidRPr="00091B47">
              <w:rPr>
                <w:rFonts w:ascii="Calibri" w:eastAsia="Times New Roman" w:hAnsi="Calibri" w:cs="Calibri"/>
                <w:b/>
                <w:bCs/>
                <w:color w:val="FFFFFF"/>
                <w:lang w:eastAsia="en-GB"/>
              </w:rPr>
              <w:t>AOL</w:t>
            </w:r>
          </w:p>
        </w:tc>
        <w:tc>
          <w:tcPr>
            <w:tcW w:w="585" w:type="pct"/>
            <w:tcBorders>
              <w:top w:val="single" w:sz="8" w:space="0" w:color="auto"/>
              <w:left w:val="single" w:sz="8" w:space="0" w:color="auto"/>
              <w:bottom w:val="nil"/>
              <w:right w:val="single" w:sz="4" w:space="0" w:color="auto"/>
            </w:tcBorders>
            <w:shd w:val="clear" w:color="000000" w:fill="000000"/>
            <w:noWrap/>
            <w:vAlign w:val="center"/>
            <w:hideMark/>
          </w:tcPr>
          <w:p w:rsidR="00091B47" w:rsidRPr="00091B47" w:rsidRDefault="00091B47" w:rsidP="00091B47">
            <w:pPr>
              <w:spacing w:after="0" w:line="240" w:lineRule="auto"/>
              <w:jc w:val="center"/>
              <w:rPr>
                <w:rFonts w:ascii="Calibri" w:eastAsia="Times New Roman" w:hAnsi="Calibri" w:cs="Calibri"/>
                <w:b/>
                <w:bCs/>
                <w:color w:val="FFFFFF"/>
                <w:lang w:eastAsia="en-GB"/>
              </w:rPr>
            </w:pPr>
            <w:r w:rsidRPr="00091B47">
              <w:rPr>
                <w:rFonts w:ascii="Calibri" w:eastAsia="Times New Roman" w:hAnsi="Calibri" w:cs="Calibri"/>
                <w:b/>
                <w:bCs/>
                <w:color w:val="FFFFFF"/>
                <w:lang w:eastAsia="en-GB"/>
              </w:rPr>
              <w:t>GMAIL</w:t>
            </w:r>
          </w:p>
        </w:tc>
        <w:tc>
          <w:tcPr>
            <w:tcW w:w="894" w:type="pct"/>
            <w:tcBorders>
              <w:top w:val="single" w:sz="8" w:space="0" w:color="auto"/>
              <w:left w:val="single" w:sz="8" w:space="0" w:color="auto"/>
              <w:bottom w:val="nil"/>
              <w:right w:val="single" w:sz="4" w:space="0" w:color="auto"/>
            </w:tcBorders>
            <w:shd w:val="clear" w:color="000000" w:fill="000000"/>
            <w:noWrap/>
            <w:vAlign w:val="center"/>
            <w:hideMark/>
          </w:tcPr>
          <w:p w:rsidR="00091B47" w:rsidRPr="00091B47" w:rsidRDefault="00091B47" w:rsidP="00091B47">
            <w:pPr>
              <w:spacing w:after="0" w:line="240" w:lineRule="auto"/>
              <w:jc w:val="center"/>
              <w:rPr>
                <w:rFonts w:ascii="Calibri" w:eastAsia="Times New Roman" w:hAnsi="Calibri" w:cs="Calibri"/>
                <w:b/>
                <w:bCs/>
                <w:color w:val="FFFFFF"/>
                <w:lang w:eastAsia="en-GB"/>
              </w:rPr>
            </w:pPr>
            <w:r w:rsidRPr="00091B47">
              <w:rPr>
                <w:rFonts w:ascii="Calibri" w:eastAsia="Times New Roman" w:hAnsi="Calibri" w:cs="Calibri"/>
                <w:b/>
                <w:bCs/>
                <w:color w:val="FFFFFF"/>
                <w:lang w:eastAsia="en-GB"/>
              </w:rPr>
              <w:t>MSN</w:t>
            </w:r>
          </w:p>
        </w:tc>
        <w:tc>
          <w:tcPr>
            <w:tcW w:w="888" w:type="pct"/>
            <w:tcBorders>
              <w:top w:val="single" w:sz="8" w:space="0" w:color="auto"/>
              <w:left w:val="single" w:sz="8" w:space="0" w:color="auto"/>
              <w:bottom w:val="nil"/>
              <w:right w:val="single" w:sz="4" w:space="0" w:color="auto"/>
            </w:tcBorders>
            <w:shd w:val="clear" w:color="000000" w:fill="000000"/>
            <w:noWrap/>
            <w:vAlign w:val="center"/>
            <w:hideMark/>
          </w:tcPr>
          <w:p w:rsidR="00091B47" w:rsidRPr="00091B47" w:rsidRDefault="00091B47" w:rsidP="00091B47">
            <w:pPr>
              <w:spacing w:after="0" w:line="240" w:lineRule="auto"/>
              <w:jc w:val="center"/>
              <w:rPr>
                <w:rFonts w:ascii="Calibri" w:eastAsia="Times New Roman" w:hAnsi="Calibri" w:cs="Calibri"/>
                <w:b/>
                <w:bCs/>
                <w:color w:val="FFFFFF"/>
                <w:lang w:eastAsia="en-GB"/>
              </w:rPr>
            </w:pPr>
            <w:r w:rsidRPr="00091B47">
              <w:rPr>
                <w:rFonts w:ascii="Calibri" w:eastAsia="Times New Roman" w:hAnsi="Calibri" w:cs="Calibri"/>
                <w:b/>
                <w:bCs/>
                <w:color w:val="FFFFFF"/>
                <w:lang w:eastAsia="en-GB"/>
              </w:rPr>
              <w:t>YAHOO</w:t>
            </w:r>
          </w:p>
        </w:tc>
        <w:tc>
          <w:tcPr>
            <w:tcW w:w="887" w:type="pct"/>
            <w:tcBorders>
              <w:top w:val="single" w:sz="8" w:space="0" w:color="auto"/>
              <w:left w:val="single" w:sz="8" w:space="0" w:color="auto"/>
              <w:bottom w:val="nil"/>
              <w:right w:val="single" w:sz="8" w:space="0" w:color="auto"/>
            </w:tcBorders>
            <w:shd w:val="clear" w:color="000000" w:fill="000000"/>
            <w:noWrap/>
            <w:vAlign w:val="center"/>
            <w:hideMark/>
          </w:tcPr>
          <w:p w:rsidR="00091B47" w:rsidRPr="00091B47" w:rsidRDefault="00091B47" w:rsidP="00091B47">
            <w:pPr>
              <w:spacing w:after="0" w:line="240" w:lineRule="auto"/>
              <w:jc w:val="center"/>
              <w:rPr>
                <w:rFonts w:ascii="Calibri" w:eastAsia="Times New Roman" w:hAnsi="Calibri" w:cs="Calibri"/>
                <w:b/>
                <w:bCs/>
                <w:color w:val="FFFFFF"/>
                <w:lang w:eastAsia="en-GB"/>
              </w:rPr>
            </w:pPr>
            <w:r w:rsidRPr="00091B47">
              <w:rPr>
                <w:rFonts w:ascii="Calibri" w:eastAsia="Times New Roman" w:hAnsi="Calibri" w:cs="Calibri"/>
                <w:b/>
                <w:bCs/>
                <w:color w:val="FFFFFF"/>
                <w:lang w:eastAsia="en-GB"/>
              </w:rPr>
              <w:t>VIRGIN</w:t>
            </w:r>
          </w:p>
        </w:tc>
      </w:tr>
      <w:tr w:rsidR="00091B47" w:rsidRPr="00091B47" w:rsidTr="00091B47">
        <w:trPr>
          <w:trHeight w:val="300"/>
        </w:trPr>
        <w:tc>
          <w:tcPr>
            <w:tcW w:w="1057" w:type="pct"/>
            <w:tcBorders>
              <w:top w:val="single" w:sz="4" w:space="0" w:color="auto"/>
              <w:left w:val="single" w:sz="8" w:space="0" w:color="auto"/>
              <w:bottom w:val="single" w:sz="4" w:space="0" w:color="auto"/>
              <w:right w:val="single" w:sz="4" w:space="0" w:color="auto"/>
            </w:tcBorders>
            <w:shd w:val="clear" w:color="auto" w:fill="auto"/>
            <w:hideMark/>
          </w:tcPr>
          <w:p w:rsidR="00091B47" w:rsidRPr="00091B47" w:rsidRDefault="00091B47" w:rsidP="00091B47">
            <w:pPr>
              <w:spacing w:after="0" w:line="240" w:lineRule="auto"/>
              <w:rPr>
                <w:rFonts w:ascii="Calibri" w:eastAsia="Times New Roman" w:hAnsi="Calibri" w:cs="Calibri"/>
                <w:b/>
                <w:bCs/>
                <w:color w:val="000000"/>
                <w:lang w:eastAsia="en-GB"/>
              </w:rPr>
            </w:pPr>
            <w:r w:rsidRPr="00091B47">
              <w:rPr>
                <w:rFonts w:ascii="Calibri" w:eastAsia="Times New Roman" w:hAnsi="Calibri" w:cs="Calibri"/>
                <w:b/>
                <w:bCs/>
                <w:color w:val="000000"/>
                <w:lang w:eastAsia="en-GB"/>
              </w:rPr>
              <w:t>Max Send Volume per Day</w:t>
            </w:r>
          </w:p>
        </w:tc>
        <w:tc>
          <w:tcPr>
            <w:tcW w:w="689" w:type="pct"/>
            <w:tcBorders>
              <w:top w:val="single" w:sz="4" w:space="0" w:color="auto"/>
              <w:left w:val="nil"/>
              <w:bottom w:val="single" w:sz="4" w:space="0" w:color="auto"/>
              <w:right w:val="single" w:sz="4" w:space="0" w:color="auto"/>
            </w:tcBorders>
            <w:shd w:val="clear" w:color="auto" w:fill="auto"/>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3,500</w:t>
            </w:r>
          </w:p>
        </w:tc>
        <w:tc>
          <w:tcPr>
            <w:tcW w:w="585" w:type="pct"/>
            <w:tcBorders>
              <w:top w:val="single" w:sz="4" w:space="0" w:color="auto"/>
              <w:left w:val="nil"/>
              <w:bottom w:val="single" w:sz="4" w:space="0" w:color="auto"/>
              <w:right w:val="single" w:sz="4" w:space="0" w:color="auto"/>
            </w:tcBorders>
            <w:shd w:val="clear" w:color="auto" w:fill="auto"/>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5,000</w:t>
            </w:r>
          </w:p>
        </w:tc>
        <w:tc>
          <w:tcPr>
            <w:tcW w:w="894" w:type="pct"/>
            <w:tcBorders>
              <w:top w:val="single" w:sz="4" w:space="0" w:color="auto"/>
              <w:left w:val="nil"/>
              <w:bottom w:val="single" w:sz="4" w:space="0" w:color="auto"/>
              <w:right w:val="single" w:sz="4" w:space="0" w:color="auto"/>
            </w:tcBorders>
            <w:shd w:val="clear" w:color="auto" w:fill="auto"/>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10,000</w:t>
            </w:r>
          </w:p>
        </w:tc>
        <w:tc>
          <w:tcPr>
            <w:tcW w:w="888" w:type="pct"/>
            <w:tcBorders>
              <w:top w:val="single" w:sz="4" w:space="0" w:color="auto"/>
              <w:left w:val="nil"/>
              <w:bottom w:val="single" w:sz="4" w:space="0" w:color="auto"/>
              <w:right w:val="single" w:sz="4" w:space="0" w:color="auto"/>
            </w:tcBorders>
            <w:shd w:val="clear" w:color="auto" w:fill="auto"/>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5,000</w:t>
            </w:r>
          </w:p>
        </w:tc>
        <w:tc>
          <w:tcPr>
            <w:tcW w:w="887" w:type="pct"/>
            <w:tcBorders>
              <w:top w:val="single" w:sz="4" w:space="0" w:color="auto"/>
              <w:left w:val="nil"/>
              <w:bottom w:val="single" w:sz="4" w:space="0" w:color="auto"/>
              <w:right w:val="single" w:sz="8" w:space="0" w:color="auto"/>
            </w:tcBorders>
            <w:shd w:val="clear" w:color="auto" w:fill="auto"/>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2,500</w:t>
            </w:r>
          </w:p>
        </w:tc>
      </w:tr>
      <w:tr w:rsidR="00091B47" w:rsidRPr="00091B47" w:rsidTr="00091B47">
        <w:trPr>
          <w:trHeight w:val="300"/>
        </w:trPr>
        <w:tc>
          <w:tcPr>
            <w:tcW w:w="1057" w:type="pct"/>
            <w:tcBorders>
              <w:top w:val="nil"/>
              <w:left w:val="single" w:sz="8" w:space="0" w:color="auto"/>
              <w:bottom w:val="single" w:sz="4" w:space="0" w:color="auto"/>
              <w:right w:val="single" w:sz="4" w:space="0" w:color="auto"/>
            </w:tcBorders>
            <w:shd w:val="clear" w:color="000000" w:fill="D9D9D9"/>
            <w:hideMark/>
          </w:tcPr>
          <w:p w:rsidR="00091B47" w:rsidRPr="00091B47" w:rsidRDefault="00091B47" w:rsidP="00091B47">
            <w:pPr>
              <w:spacing w:after="0" w:line="240" w:lineRule="auto"/>
              <w:rPr>
                <w:rFonts w:ascii="Calibri" w:eastAsia="Times New Roman" w:hAnsi="Calibri" w:cs="Calibri"/>
                <w:b/>
                <w:bCs/>
                <w:color w:val="000000"/>
                <w:lang w:eastAsia="en-GB"/>
              </w:rPr>
            </w:pPr>
            <w:r w:rsidRPr="00091B47">
              <w:rPr>
                <w:rFonts w:ascii="Calibri" w:eastAsia="Times New Roman" w:hAnsi="Calibri" w:cs="Calibri"/>
                <w:b/>
                <w:bCs/>
                <w:color w:val="000000"/>
                <w:lang w:eastAsia="en-GB"/>
              </w:rPr>
              <w:t>Acceptable Spam Complaint Rate</w:t>
            </w:r>
          </w:p>
        </w:tc>
        <w:tc>
          <w:tcPr>
            <w:tcW w:w="689" w:type="pct"/>
            <w:tcBorders>
              <w:top w:val="nil"/>
              <w:left w:val="nil"/>
              <w:bottom w:val="single" w:sz="4" w:space="0" w:color="auto"/>
              <w:right w:val="single" w:sz="4" w:space="0" w:color="auto"/>
            </w:tcBorders>
            <w:shd w:val="clear" w:color="000000" w:fill="D9D9D9"/>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0.10%</w:t>
            </w:r>
          </w:p>
        </w:tc>
        <w:tc>
          <w:tcPr>
            <w:tcW w:w="585" w:type="pct"/>
            <w:tcBorders>
              <w:top w:val="nil"/>
              <w:left w:val="nil"/>
              <w:bottom w:val="single" w:sz="4" w:space="0" w:color="auto"/>
              <w:right w:val="single" w:sz="4" w:space="0" w:color="auto"/>
            </w:tcBorders>
            <w:shd w:val="clear" w:color="000000" w:fill="D9D9D9"/>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N/A</w:t>
            </w:r>
          </w:p>
        </w:tc>
        <w:tc>
          <w:tcPr>
            <w:tcW w:w="894" w:type="pct"/>
            <w:tcBorders>
              <w:top w:val="nil"/>
              <w:left w:val="nil"/>
              <w:bottom w:val="single" w:sz="4" w:space="0" w:color="auto"/>
              <w:right w:val="single" w:sz="4" w:space="0" w:color="auto"/>
            </w:tcBorders>
            <w:shd w:val="clear" w:color="000000" w:fill="D9D9D9"/>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0.30%</w:t>
            </w:r>
          </w:p>
        </w:tc>
        <w:tc>
          <w:tcPr>
            <w:tcW w:w="888" w:type="pct"/>
            <w:tcBorders>
              <w:top w:val="nil"/>
              <w:left w:val="nil"/>
              <w:bottom w:val="single" w:sz="4" w:space="0" w:color="auto"/>
              <w:right w:val="single" w:sz="4" w:space="0" w:color="auto"/>
            </w:tcBorders>
            <w:shd w:val="clear" w:color="000000" w:fill="D9D9D9"/>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0.10%</w:t>
            </w:r>
          </w:p>
        </w:tc>
        <w:tc>
          <w:tcPr>
            <w:tcW w:w="887" w:type="pct"/>
            <w:tcBorders>
              <w:top w:val="nil"/>
              <w:left w:val="nil"/>
              <w:bottom w:val="single" w:sz="4" w:space="0" w:color="auto"/>
              <w:right w:val="single" w:sz="8" w:space="0" w:color="auto"/>
            </w:tcBorders>
            <w:shd w:val="clear" w:color="000000" w:fill="D9D9D9"/>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0.10%</w:t>
            </w:r>
          </w:p>
        </w:tc>
      </w:tr>
      <w:tr w:rsidR="00091B47" w:rsidRPr="00091B47" w:rsidTr="00091B47">
        <w:trPr>
          <w:trHeight w:val="300"/>
        </w:trPr>
        <w:tc>
          <w:tcPr>
            <w:tcW w:w="1057" w:type="pct"/>
            <w:tcBorders>
              <w:top w:val="nil"/>
              <w:left w:val="single" w:sz="8" w:space="0" w:color="auto"/>
              <w:bottom w:val="single" w:sz="4" w:space="0" w:color="auto"/>
              <w:right w:val="single" w:sz="4" w:space="0" w:color="auto"/>
            </w:tcBorders>
            <w:shd w:val="clear" w:color="auto" w:fill="auto"/>
            <w:hideMark/>
          </w:tcPr>
          <w:p w:rsidR="00091B47" w:rsidRPr="00091B47" w:rsidRDefault="00091B47" w:rsidP="00091B47">
            <w:pPr>
              <w:spacing w:after="0" w:line="240" w:lineRule="auto"/>
              <w:rPr>
                <w:rFonts w:ascii="Calibri" w:eastAsia="Times New Roman" w:hAnsi="Calibri" w:cs="Calibri"/>
                <w:b/>
                <w:bCs/>
                <w:color w:val="000000"/>
                <w:lang w:eastAsia="en-GB"/>
              </w:rPr>
            </w:pPr>
            <w:r w:rsidRPr="00091B47">
              <w:rPr>
                <w:rFonts w:ascii="Calibri" w:eastAsia="Times New Roman" w:hAnsi="Calibri" w:cs="Calibri"/>
                <w:b/>
                <w:bCs/>
                <w:color w:val="000000"/>
                <w:lang w:eastAsia="en-GB"/>
              </w:rPr>
              <w:t>Acceptable Bounce Rate</w:t>
            </w:r>
          </w:p>
        </w:tc>
        <w:tc>
          <w:tcPr>
            <w:tcW w:w="689" w:type="pct"/>
            <w:tcBorders>
              <w:top w:val="nil"/>
              <w:left w:val="nil"/>
              <w:bottom w:val="single" w:sz="4" w:space="0" w:color="auto"/>
              <w:right w:val="single" w:sz="4" w:space="0" w:color="auto"/>
            </w:tcBorders>
            <w:shd w:val="clear" w:color="auto" w:fill="auto"/>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5%</w:t>
            </w:r>
          </w:p>
        </w:tc>
        <w:tc>
          <w:tcPr>
            <w:tcW w:w="585" w:type="pct"/>
            <w:tcBorders>
              <w:top w:val="nil"/>
              <w:left w:val="nil"/>
              <w:bottom w:val="single" w:sz="4" w:space="0" w:color="auto"/>
              <w:right w:val="single" w:sz="4" w:space="0" w:color="auto"/>
            </w:tcBorders>
            <w:shd w:val="clear" w:color="auto" w:fill="auto"/>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5%</w:t>
            </w:r>
          </w:p>
        </w:tc>
        <w:tc>
          <w:tcPr>
            <w:tcW w:w="894" w:type="pct"/>
            <w:tcBorders>
              <w:top w:val="nil"/>
              <w:left w:val="nil"/>
              <w:bottom w:val="single" w:sz="4" w:space="0" w:color="auto"/>
              <w:right w:val="single" w:sz="4" w:space="0" w:color="auto"/>
            </w:tcBorders>
            <w:shd w:val="clear" w:color="auto" w:fill="auto"/>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5%</w:t>
            </w:r>
          </w:p>
        </w:tc>
        <w:tc>
          <w:tcPr>
            <w:tcW w:w="888" w:type="pct"/>
            <w:tcBorders>
              <w:top w:val="nil"/>
              <w:left w:val="nil"/>
              <w:bottom w:val="single" w:sz="4" w:space="0" w:color="auto"/>
              <w:right w:val="single" w:sz="4" w:space="0" w:color="auto"/>
            </w:tcBorders>
            <w:shd w:val="clear" w:color="auto" w:fill="auto"/>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5%</w:t>
            </w:r>
          </w:p>
        </w:tc>
        <w:tc>
          <w:tcPr>
            <w:tcW w:w="887" w:type="pct"/>
            <w:tcBorders>
              <w:top w:val="nil"/>
              <w:left w:val="nil"/>
              <w:bottom w:val="single" w:sz="4" w:space="0" w:color="auto"/>
              <w:right w:val="single" w:sz="8" w:space="0" w:color="auto"/>
            </w:tcBorders>
            <w:shd w:val="clear" w:color="auto" w:fill="auto"/>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5%</w:t>
            </w:r>
          </w:p>
        </w:tc>
      </w:tr>
      <w:tr w:rsidR="00091B47" w:rsidRPr="00091B47" w:rsidTr="00091B47">
        <w:trPr>
          <w:trHeight w:val="315"/>
        </w:trPr>
        <w:tc>
          <w:tcPr>
            <w:tcW w:w="1057" w:type="pct"/>
            <w:tcBorders>
              <w:top w:val="nil"/>
              <w:left w:val="single" w:sz="8" w:space="0" w:color="auto"/>
              <w:bottom w:val="single" w:sz="8" w:space="0" w:color="auto"/>
              <w:right w:val="single" w:sz="4" w:space="0" w:color="auto"/>
            </w:tcBorders>
            <w:shd w:val="clear" w:color="000000" w:fill="D9D9D9"/>
            <w:hideMark/>
          </w:tcPr>
          <w:p w:rsidR="00091B47" w:rsidRPr="00091B47" w:rsidRDefault="00091B47" w:rsidP="00091B47">
            <w:pPr>
              <w:spacing w:after="0" w:line="240" w:lineRule="auto"/>
              <w:rPr>
                <w:rFonts w:ascii="Calibri" w:eastAsia="Times New Roman" w:hAnsi="Calibri" w:cs="Calibri"/>
                <w:b/>
                <w:bCs/>
                <w:color w:val="000000"/>
                <w:lang w:eastAsia="en-GB"/>
              </w:rPr>
            </w:pPr>
            <w:r w:rsidRPr="00091B47">
              <w:rPr>
                <w:rFonts w:ascii="Calibri" w:eastAsia="Times New Roman" w:hAnsi="Calibri" w:cs="Calibri"/>
                <w:b/>
                <w:bCs/>
                <w:color w:val="000000"/>
                <w:lang w:eastAsia="en-GB"/>
              </w:rPr>
              <w:t>High Bounce Rate</w:t>
            </w:r>
          </w:p>
        </w:tc>
        <w:tc>
          <w:tcPr>
            <w:tcW w:w="689" w:type="pct"/>
            <w:tcBorders>
              <w:top w:val="nil"/>
              <w:left w:val="nil"/>
              <w:bottom w:val="single" w:sz="8" w:space="0" w:color="auto"/>
              <w:right w:val="single" w:sz="4" w:space="0" w:color="auto"/>
            </w:tcBorders>
            <w:shd w:val="clear" w:color="000000" w:fill="D9D9D9"/>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10%</w:t>
            </w:r>
          </w:p>
        </w:tc>
        <w:tc>
          <w:tcPr>
            <w:tcW w:w="585" w:type="pct"/>
            <w:tcBorders>
              <w:top w:val="nil"/>
              <w:left w:val="nil"/>
              <w:bottom w:val="single" w:sz="8" w:space="0" w:color="auto"/>
              <w:right w:val="single" w:sz="4" w:space="0" w:color="auto"/>
            </w:tcBorders>
            <w:shd w:val="clear" w:color="000000" w:fill="D9D9D9"/>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10%</w:t>
            </w:r>
          </w:p>
        </w:tc>
        <w:tc>
          <w:tcPr>
            <w:tcW w:w="894" w:type="pct"/>
            <w:tcBorders>
              <w:top w:val="nil"/>
              <w:left w:val="nil"/>
              <w:bottom w:val="single" w:sz="8" w:space="0" w:color="auto"/>
              <w:right w:val="single" w:sz="4" w:space="0" w:color="auto"/>
            </w:tcBorders>
            <w:shd w:val="clear" w:color="000000" w:fill="D9D9D9"/>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10%</w:t>
            </w:r>
          </w:p>
        </w:tc>
        <w:tc>
          <w:tcPr>
            <w:tcW w:w="888" w:type="pct"/>
            <w:tcBorders>
              <w:top w:val="nil"/>
              <w:left w:val="nil"/>
              <w:bottom w:val="single" w:sz="8" w:space="0" w:color="auto"/>
              <w:right w:val="single" w:sz="4" w:space="0" w:color="auto"/>
            </w:tcBorders>
            <w:shd w:val="clear" w:color="000000" w:fill="D9D9D9"/>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10%</w:t>
            </w:r>
          </w:p>
        </w:tc>
        <w:tc>
          <w:tcPr>
            <w:tcW w:w="887" w:type="pct"/>
            <w:tcBorders>
              <w:top w:val="nil"/>
              <w:left w:val="nil"/>
              <w:bottom w:val="single" w:sz="8" w:space="0" w:color="auto"/>
              <w:right w:val="single" w:sz="8" w:space="0" w:color="auto"/>
            </w:tcBorders>
            <w:shd w:val="clear" w:color="000000" w:fill="D9D9D9"/>
            <w:noWrap/>
            <w:hideMark/>
          </w:tcPr>
          <w:p w:rsidR="00091B47" w:rsidRPr="00091B47" w:rsidRDefault="00091B47" w:rsidP="00091B47">
            <w:pPr>
              <w:spacing w:after="0" w:line="240" w:lineRule="auto"/>
              <w:jc w:val="center"/>
              <w:rPr>
                <w:rFonts w:ascii="Calibri" w:eastAsia="Times New Roman" w:hAnsi="Calibri" w:cs="Calibri"/>
                <w:color w:val="000000"/>
                <w:sz w:val="28"/>
                <w:lang w:eastAsia="en-GB"/>
              </w:rPr>
            </w:pPr>
            <w:r w:rsidRPr="00091B47">
              <w:rPr>
                <w:rFonts w:ascii="Calibri" w:eastAsia="Times New Roman" w:hAnsi="Calibri" w:cs="Calibri"/>
                <w:color w:val="000000"/>
                <w:sz w:val="28"/>
                <w:lang w:eastAsia="en-GB"/>
              </w:rPr>
              <w:t>10%</w:t>
            </w:r>
          </w:p>
        </w:tc>
      </w:tr>
    </w:tbl>
    <w:p w:rsidR="00091B47" w:rsidRDefault="00091B47" w:rsidP="00091B47">
      <w:pPr>
        <w:rPr>
          <w:rFonts w:ascii="Arial" w:hAnsi="Arial" w:cs="Arial"/>
        </w:rPr>
      </w:pPr>
    </w:p>
    <w:p w:rsidR="00091B47" w:rsidRDefault="00091B47" w:rsidP="00091B47">
      <w:pPr>
        <w:rPr>
          <w:rFonts w:ascii="Arial" w:hAnsi="Arial" w:cs="Arial"/>
        </w:rPr>
      </w:pPr>
    </w:p>
    <w:p w:rsidR="00091B47" w:rsidRDefault="00091B47" w:rsidP="00091B47">
      <w:pPr>
        <w:rPr>
          <w:rFonts w:ascii="Arial" w:hAnsi="Arial" w:cs="Arial"/>
        </w:rPr>
      </w:pPr>
    </w:p>
    <w:p w:rsidR="00091B47" w:rsidRPr="009B4752" w:rsidRDefault="00091B47" w:rsidP="00091B47">
      <w:pPr>
        <w:rPr>
          <w:rFonts w:ascii="Arial" w:hAnsi="Arial" w:cs="Arial"/>
        </w:rPr>
      </w:pPr>
    </w:p>
    <w:sectPr w:rsidR="00091B47" w:rsidRPr="009B4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7326D"/>
    <w:multiLevelType w:val="hybridMultilevel"/>
    <w:tmpl w:val="7B840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30702BF"/>
    <w:multiLevelType w:val="hybridMultilevel"/>
    <w:tmpl w:val="FAD6A57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752"/>
    <w:rsid w:val="00076A6E"/>
    <w:rsid w:val="00091B47"/>
    <w:rsid w:val="000D4196"/>
    <w:rsid w:val="000D43C6"/>
    <w:rsid w:val="00191948"/>
    <w:rsid w:val="00260607"/>
    <w:rsid w:val="002B6518"/>
    <w:rsid w:val="00346DD6"/>
    <w:rsid w:val="003C530C"/>
    <w:rsid w:val="004479D5"/>
    <w:rsid w:val="005159CA"/>
    <w:rsid w:val="0053659A"/>
    <w:rsid w:val="006F6F41"/>
    <w:rsid w:val="0070480F"/>
    <w:rsid w:val="008F3336"/>
    <w:rsid w:val="0091055B"/>
    <w:rsid w:val="009B4752"/>
    <w:rsid w:val="009B7EF3"/>
    <w:rsid w:val="00A05D39"/>
    <w:rsid w:val="00AB3614"/>
    <w:rsid w:val="00B91793"/>
    <w:rsid w:val="00BE7460"/>
    <w:rsid w:val="00C96A41"/>
    <w:rsid w:val="00D80406"/>
    <w:rsid w:val="00E22BB1"/>
    <w:rsid w:val="00F74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79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B4752"/>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4479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79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79D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76A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79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B4752"/>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4479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79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79D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76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881215">
      <w:bodyDiv w:val="1"/>
      <w:marLeft w:val="0"/>
      <w:marRight w:val="0"/>
      <w:marTop w:val="0"/>
      <w:marBottom w:val="0"/>
      <w:divBdr>
        <w:top w:val="none" w:sz="0" w:space="0" w:color="auto"/>
        <w:left w:val="none" w:sz="0" w:space="0" w:color="auto"/>
        <w:bottom w:val="none" w:sz="0" w:space="0" w:color="auto"/>
        <w:right w:val="none" w:sz="0" w:space="0" w:color="auto"/>
      </w:divBdr>
    </w:div>
    <w:div w:id="1281716773">
      <w:bodyDiv w:val="1"/>
      <w:marLeft w:val="0"/>
      <w:marRight w:val="0"/>
      <w:marTop w:val="0"/>
      <w:marBottom w:val="0"/>
      <w:divBdr>
        <w:top w:val="none" w:sz="0" w:space="0" w:color="auto"/>
        <w:left w:val="none" w:sz="0" w:space="0" w:color="auto"/>
        <w:bottom w:val="none" w:sz="0" w:space="0" w:color="auto"/>
        <w:right w:val="none" w:sz="0" w:space="0" w:color="auto"/>
      </w:divBdr>
    </w:div>
    <w:div w:id="196761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rmead</dc:creator>
  <cp:lastModifiedBy>rmead</cp:lastModifiedBy>
  <cp:revision>18</cp:revision>
  <cp:lastPrinted>2012-05-23T11:13:00Z</cp:lastPrinted>
  <dcterms:created xsi:type="dcterms:W3CDTF">2012-05-23T10:18:00Z</dcterms:created>
  <dcterms:modified xsi:type="dcterms:W3CDTF">2012-08-02T16:28:00Z</dcterms:modified>
</cp:coreProperties>
</file>