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9D5" w:rsidRPr="000D4196" w:rsidRDefault="00D80406" w:rsidP="004479D5">
      <w:pPr>
        <w:pStyle w:val="Title"/>
        <w:rPr>
          <w:b/>
        </w:rPr>
      </w:pPr>
      <w:r>
        <w:rPr>
          <w:b/>
        </w:rPr>
        <w:t>Bulk Opting-In of New Customers</w:t>
      </w:r>
    </w:p>
    <w:p w:rsidR="009B4752" w:rsidRPr="004479D5" w:rsidRDefault="004479D5" w:rsidP="004479D5">
      <w:pPr>
        <w:pStyle w:val="Heading1"/>
        <w:rPr>
          <w:u w:val="single"/>
        </w:rPr>
      </w:pPr>
      <w:r w:rsidRPr="004479D5">
        <w:rPr>
          <w:u w:val="single"/>
        </w:rPr>
        <w:t>1</w:t>
      </w:r>
      <w:r w:rsidR="009B4752" w:rsidRPr="004479D5">
        <w:rPr>
          <w:u w:val="single"/>
        </w:rPr>
        <w:t xml:space="preserve">.1 Background </w:t>
      </w:r>
    </w:p>
    <w:p w:rsidR="009B4752" w:rsidRDefault="009B4752" w:rsidP="009B4752">
      <w:pPr>
        <w:pStyle w:val="Default"/>
        <w:rPr>
          <w:sz w:val="22"/>
          <w:szCs w:val="22"/>
        </w:rPr>
      </w:pPr>
      <w:r>
        <w:rPr>
          <w:sz w:val="22"/>
          <w:szCs w:val="22"/>
        </w:rPr>
        <w:t xml:space="preserve">The major ISPs throttle inbound traffic from IP addresses even if the IP addresses/domains are whitelisted with the ISP. ISPs are becoming more cautious with traffic in order to give them greater protection from spam and phishing attacks. </w:t>
      </w:r>
    </w:p>
    <w:p w:rsidR="00D80406" w:rsidRDefault="00D80406" w:rsidP="009B4752">
      <w:pPr>
        <w:pStyle w:val="Default"/>
        <w:rPr>
          <w:sz w:val="22"/>
          <w:szCs w:val="22"/>
        </w:rPr>
      </w:pPr>
    </w:p>
    <w:p w:rsidR="009B4752" w:rsidRDefault="009B4752" w:rsidP="009B4752">
      <w:pPr>
        <w:pStyle w:val="Default"/>
        <w:rPr>
          <w:sz w:val="22"/>
          <w:szCs w:val="22"/>
        </w:rPr>
      </w:pPr>
      <w:r>
        <w:rPr>
          <w:sz w:val="22"/>
          <w:szCs w:val="22"/>
        </w:rPr>
        <w:t xml:space="preserve">A </w:t>
      </w:r>
      <w:r w:rsidR="00076A6E">
        <w:rPr>
          <w:sz w:val="22"/>
          <w:szCs w:val="22"/>
        </w:rPr>
        <w:t>favourable</w:t>
      </w:r>
      <w:r>
        <w:rPr>
          <w:sz w:val="22"/>
          <w:szCs w:val="22"/>
        </w:rPr>
        <w:t xml:space="preserve"> reputation is measured by low bounce rates and low spam complaint rates for a given day, and over the history of the IP address. The lower the spam complaint rate and the lower bounce rate with a consistent traffic volume, the better the reputation. As a reputation gains </w:t>
      </w:r>
      <w:r w:rsidR="00076A6E">
        <w:rPr>
          <w:sz w:val="22"/>
          <w:szCs w:val="22"/>
        </w:rPr>
        <w:t>favour</w:t>
      </w:r>
      <w:r>
        <w:rPr>
          <w:sz w:val="22"/>
          <w:szCs w:val="22"/>
        </w:rPr>
        <w:t xml:space="preserve">, the ISPs will increase their traffic threshold for the given IP address. </w:t>
      </w:r>
    </w:p>
    <w:p w:rsidR="00D80406" w:rsidRDefault="00D80406" w:rsidP="009B4752">
      <w:pPr>
        <w:pStyle w:val="Default"/>
        <w:rPr>
          <w:sz w:val="22"/>
          <w:szCs w:val="22"/>
        </w:rPr>
      </w:pPr>
    </w:p>
    <w:p w:rsidR="00D80406" w:rsidRDefault="00D80406" w:rsidP="009B4752">
      <w:pPr>
        <w:pStyle w:val="Default"/>
        <w:rPr>
          <w:sz w:val="22"/>
          <w:szCs w:val="22"/>
        </w:rPr>
      </w:pPr>
      <w:r>
        <w:rPr>
          <w:sz w:val="22"/>
          <w:szCs w:val="22"/>
        </w:rPr>
        <w:t>However, suddenly adding in a large number (greater than 10%) of new contacts to your subscriber list in one go will cause any user to exceed this assigned threshold and will lower your IP reputation.</w:t>
      </w:r>
    </w:p>
    <w:p w:rsidR="00D80406" w:rsidRDefault="00D80406" w:rsidP="009B4752">
      <w:pPr>
        <w:pStyle w:val="Default"/>
        <w:rPr>
          <w:sz w:val="22"/>
          <w:szCs w:val="22"/>
        </w:rPr>
      </w:pPr>
    </w:p>
    <w:p w:rsidR="00D80406" w:rsidRDefault="00D80406" w:rsidP="009B4752">
      <w:pPr>
        <w:pStyle w:val="Default"/>
        <w:rPr>
          <w:sz w:val="22"/>
          <w:szCs w:val="22"/>
        </w:rPr>
      </w:pPr>
      <w:r>
        <w:rPr>
          <w:sz w:val="22"/>
          <w:szCs w:val="22"/>
        </w:rPr>
        <w:t>In order to avoid this all new contacts should be added incrementally over a number of days in a similar fashion to an initial White Listing process</w:t>
      </w:r>
      <w:r w:rsidR="0053659A">
        <w:rPr>
          <w:sz w:val="22"/>
          <w:szCs w:val="22"/>
        </w:rPr>
        <w:t>.</w:t>
      </w:r>
    </w:p>
    <w:p w:rsidR="009B4752" w:rsidRDefault="009B4752" w:rsidP="009B4752">
      <w:pPr>
        <w:pStyle w:val="Default"/>
        <w:rPr>
          <w:sz w:val="22"/>
          <w:szCs w:val="22"/>
        </w:rPr>
      </w:pPr>
    </w:p>
    <w:p w:rsidR="0053659A" w:rsidRDefault="0053659A" w:rsidP="004479D5">
      <w:pPr>
        <w:pStyle w:val="Heading1"/>
        <w:rPr>
          <w:u w:val="single"/>
        </w:rPr>
      </w:pPr>
      <w:r w:rsidRPr="004479D5">
        <w:rPr>
          <w:u w:val="single"/>
        </w:rPr>
        <w:t>1.</w:t>
      </w:r>
      <w:r>
        <w:rPr>
          <w:u w:val="single"/>
        </w:rPr>
        <w:t>2</w:t>
      </w:r>
      <w:r w:rsidRPr="004479D5">
        <w:rPr>
          <w:u w:val="single"/>
        </w:rPr>
        <w:t xml:space="preserve"> </w:t>
      </w:r>
      <w:r>
        <w:rPr>
          <w:u w:val="single"/>
        </w:rPr>
        <w:t>IP White Listing</w:t>
      </w:r>
      <w:r w:rsidRPr="004479D5">
        <w:rPr>
          <w:u w:val="single"/>
        </w:rPr>
        <w:t xml:space="preserve"> </w:t>
      </w:r>
    </w:p>
    <w:p w:rsidR="0053659A" w:rsidRDefault="0053659A" w:rsidP="0053659A">
      <w:pPr>
        <w:rPr>
          <w:rFonts w:ascii="Arial" w:hAnsi="Arial" w:cs="Arial"/>
          <w:color w:val="000000"/>
        </w:rPr>
      </w:pPr>
      <w:r>
        <w:rPr>
          <w:rFonts w:ascii="Arial" w:hAnsi="Arial" w:cs="Arial"/>
          <w:color w:val="000000"/>
        </w:rPr>
        <w:t>A large Bulk Opt-In should never be attempted until a complete White Listing process has been completed and validated with evidence at least 30 days of high delivery rates for your complete subscriber list.</w:t>
      </w:r>
    </w:p>
    <w:p w:rsidR="00B91793" w:rsidRDefault="0053659A" w:rsidP="0053659A">
      <w:pPr>
        <w:rPr>
          <w:rFonts w:ascii="Arial" w:hAnsi="Arial" w:cs="Arial"/>
          <w:color w:val="000000"/>
        </w:rPr>
      </w:pPr>
      <w:r>
        <w:rPr>
          <w:rFonts w:ascii="Arial" w:hAnsi="Arial" w:cs="Arial"/>
          <w:color w:val="000000"/>
        </w:rPr>
        <w:t>Small lists or additions can normally be implemented without</w:t>
      </w:r>
      <w:r w:rsidR="00A05D39">
        <w:rPr>
          <w:rFonts w:ascii="Arial" w:hAnsi="Arial" w:cs="Arial"/>
          <w:color w:val="000000"/>
        </w:rPr>
        <w:t xml:space="preserve"> issue and without</w:t>
      </w:r>
      <w:r>
        <w:rPr>
          <w:rFonts w:ascii="Arial" w:hAnsi="Arial" w:cs="Arial"/>
          <w:color w:val="000000"/>
        </w:rPr>
        <w:t xml:space="preserve"> the need to</w:t>
      </w:r>
      <w:r w:rsidR="00A05D39">
        <w:rPr>
          <w:rFonts w:ascii="Arial" w:hAnsi="Arial" w:cs="Arial"/>
          <w:color w:val="000000"/>
        </w:rPr>
        <w:t xml:space="preserve"> throttle the merging of the </w:t>
      </w:r>
      <w:r w:rsidR="00A05D39" w:rsidRPr="00A05D39">
        <w:rPr>
          <w:rFonts w:ascii="Arial" w:hAnsi="Arial" w:cs="Arial"/>
          <w:color w:val="000000"/>
        </w:rPr>
        <w:t>established</w:t>
      </w:r>
      <w:r w:rsidR="00A05D39">
        <w:rPr>
          <w:rFonts w:ascii="Arial" w:hAnsi="Arial" w:cs="Arial"/>
          <w:color w:val="000000"/>
        </w:rPr>
        <w:t xml:space="preserve"> data with the new contacts. </w:t>
      </w:r>
      <w:r>
        <w:rPr>
          <w:rFonts w:ascii="Arial" w:hAnsi="Arial" w:cs="Arial"/>
          <w:color w:val="000000"/>
        </w:rPr>
        <w:t xml:space="preserve"> </w:t>
      </w:r>
    </w:p>
    <w:p w:rsidR="0053659A" w:rsidRPr="00B91793" w:rsidRDefault="00B91793" w:rsidP="00B91793">
      <w:pPr>
        <w:pStyle w:val="Heading1"/>
        <w:rPr>
          <w:u w:val="single"/>
        </w:rPr>
      </w:pPr>
      <w:r w:rsidRPr="004479D5">
        <w:rPr>
          <w:u w:val="single"/>
        </w:rPr>
        <w:t>1.</w:t>
      </w:r>
      <w:r>
        <w:rPr>
          <w:u w:val="single"/>
        </w:rPr>
        <w:t>3</w:t>
      </w:r>
      <w:r w:rsidRPr="004479D5">
        <w:rPr>
          <w:u w:val="single"/>
        </w:rPr>
        <w:t xml:space="preserve"> </w:t>
      </w:r>
      <w:r>
        <w:rPr>
          <w:u w:val="single"/>
        </w:rPr>
        <w:t>General Notes</w:t>
      </w:r>
      <w:r w:rsidRPr="004479D5">
        <w:rPr>
          <w:u w:val="single"/>
        </w:rPr>
        <w:t xml:space="preserve"> </w:t>
      </w:r>
      <w:r w:rsidR="0053659A">
        <w:rPr>
          <w:rFonts w:ascii="Arial" w:hAnsi="Arial" w:cs="Arial"/>
          <w:color w:val="000000"/>
        </w:rPr>
        <w:t xml:space="preserve"> </w:t>
      </w:r>
    </w:p>
    <w:p w:rsidR="00076A6E" w:rsidRDefault="00A05D39" w:rsidP="009B4752">
      <w:pPr>
        <w:pStyle w:val="Default"/>
        <w:rPr>
          <w:sz w:val="22"/>
          <w:szCs w:val="22"/>
        </w:rPr>
      </w:pPr>
      <w:r>
        <w:rPr>
          <w:sz w:val="22"/>
          <w:szCs w:val="22"/>
        </w:rPr>
        <w:t>The key with successfully integrating new data to your subscriber list is to manage the bounce rate and complaint rate in order to ensure you do not lose all the time spent successfully establishing your IP’s reputation. You can also run the risk of being blacklisted by that same ISP.</w:t>
      </w:r>
    </w:p>
    <w:p w:rsidR="00A05D39" w:rsidRDefault="00A05D39" w:rsidP="009B4752">
      <w:pPr>
        <w:pStyle w:val="Default"/>
        <w:rPr>
          <w:sz w:val="22"/>
          <w:szCs w:val="22"/>
        </w:rPr>
      </w:pPr>
    </w:p>
    <w:p w:rsidR="00A05D39" w:rsidRDefault="00A05D39" w:rsidP="009B4752">
      <w:pPr>
        <w:pStyle w:val="Default"/>
        <w:rPr>
          <w:sz w:val="22"/>
          <w:szCs w:val="22"/>
        </w:rPr>
      </w:pPr>
      <w:r>
        <w:rPr>
          <w:sz w:val="22"/>
          <w:szCs w:val="22"/>
        </w:rPr>
        <w:t>However, your “White Listed” status will allow for a greater margin of error than was available for your White Listing campaign. Most ISP with allow for a bounce rate of between 1</w:t>
      </w:r>
      <w:r w:rsidR="00B91793">
        <w:rPr>
          <w:sz w:val="22"/>
          <w:szCs w:val="22"/>
        </w:rPr>
        <w:t>0</w:t>
      </w:r>
      <w:r>
        <w:rPr>
          <w:sz w:val="22"/>
          <w:szCs w:val="22"/>
        </w:rPr>
        <w:t>-20% before the threat of Black Listing becomes a possibility.</w:t>
      </w:r>
    </w:p>
    <w:p w:rsidR="00A05D39" w:rsidRDefault="00A05D39" w:rsidP="009B4752">
      <w:pPr>
        <w:pStyle w:val="Default"/>
        <w:rPr>
          <w:sz w:val="22"/>
          <w:szCs w:val="22"/>
        </w:rPr>
      </w:pPr>
    </w:p>
    <w:p w:rsidR="00A05D39" w:rsidRDefault="00A05D39" w:rsidP="009B4752">
      <w:pPr>
        <w:pStyle w:val="Default"/>
        <w:rPr>
          <w:sz w:val="22"/>
          <w:szCs w:val="22"/>
        </w:rPr>
      </w:pPr>
      <w:r>
        <w:rPr>
          <w:sz w:val="22"/>
          <w:szCs w:val="22"/>
        </w:rPr>
        <w:t>For this reason in is good practice to contact your ESP (and where possible the individual ISP’s) when you are planning to implement a large scale Bulk Opt-In. They can often help either with recommendations, contacts or temporarily assigning you an IP with a very high reputation.</w:t>
      </w:r>
    </w:p>
    <w:p w:rsidR="00A05D39" w:rsidRDefault="00A05D39" w:rsidP="009B4752">
      <w:pPr>
        <w:pStyle w:val="Default"/>
        <w:rPr>
          <w:sz w:val="22"/>
          <w:szCs w:val="22"/>
        </w:rPr>
      </w:pPr>
    </w:p>
    <w:p w:rsidR="00B91793" w:rsidRDefault="00B91793" w:rsidP="00B91793">
      <w:pPr>
        <w:pStyle w:val="Heading1"/>
        <w:rPr>
          <w:u w:val="single"/>
        </w:rPr>
      </w:pPr>
      <w:r w:rsidRPr="004479D5">
        <w:rPr>
          <w:u w:val="single"/>
        </w:rPr>
        <w:lastRenderedPageBreak/>
        <w:t>1.</w:t>
      </w:r>
      <w:r>
        <w:rPr>
          <w:u w:val="single"/>
        </w:rPr>
        <w:t>4</w:t>
      </w:r>
      <w:r w:rsidRPr="004479D5">
        <w:rPr>
          <w:u w:val="single"/>
        </w:rPr>
        <w:t xml:space="preserve"> Quality of Recipients </w:t>
      </w:r>
    </w:p>
    <w:p w:rsidR="00B91793" w:rsidRPr="00B91793" w:rsidRDefault="00B91793" w:rsidP="00B91793">
      <w:pPr>
        <w:rPr>
          <w:rFonts w:ascii="Arial" w:hAnsi="Arial" w:cs="Arial"/>
          <w:color w:val="000000"/>
        </w:rPr>
      </w:pPr>
      <w:r>
        <w:rPr>
          <w:rFonts w:ascii="Arial" w:hAnsi="Arial" w:cs="Arial"/>
          <w:color w:val="000000"/>
        </w:rPr>
        <w:t xml:space="preserve">Depending on the nature of how any new subscribers are acquired (whether it is a competition entry or partner data) it is not always possible to analyse the quality of these new contacts before starting, but where possible it is important to consider whether the:  </w:t>
      </w:r>
    </w:p>
    <w:p w:rsidR="00B91793" w:rsidRDefault="00B91793" w:rsidP="00076A6E">
      <w:pPr>
        <w:pStyle w:val="Default"/>
        <w:numPr>
          <w:ilvl w:val="0"/>
          <w:numId w:val="1"/>
        </w:numPr>
        <w:spacing w:after="14"/>
        <w:rPr>
          <w:sz w:val="22"/>
          <w:szCs w:val="22"/>
        </w:rPr>
      </w:pPr>
      <w:r>
        <w:rPr>
          <w:sz w:val="22"/>
          <w:szCs w:val="22"/>
        </w:rPr>
        <w:t>Email addresses that have recently opted-in</w:t>
      </w:r>
    </w:p>
    <w:p w:rsidR="00B91793" w:rsidRDefault="00B91793" w:rsidP="00B91793">
      <w:pPr>
        <w:pStyle w:val="Default"/>
        <w:spacing w:after="14"/>
        <w:ind w:left="720"/>
        <w:rPr>
          <w:sz w:val="22"/>
          <w:szCs w:val="22"/>
        </w:rPr>
      </w:pPr>
    </w:p>
    <w:p w:rsidR="00076A6E" w:rsidRDefault="009B4752" w:rsidP="00076A6E">
      <w:pPr>
        <w:pStyle w:val="Default"/>
        <w:numPr>
          <w:ilvl w:val="0"/>
          <w:numId w:val="1"/>
        </w:numPr>
        <w:spacing w:after="14"/>
        <w:rPr>
          <w:sz w:val="22"/>
          <w:szCs w:val="22"/>
        </w:rPr>
      </w:pPr>
      <w:r>
        <w:rPr>
          <w:sz w:val="22"/>
          <w:szCs w:val="22"/>
        </w:rPr>
        <w:t>Email addresses that have interacted in the past six (6) months (Interaction is defined as opening an email, clicking on a link in</w:t>
      </w:r>
      <w:r w:rsidR="00076A6E">
        <w:rPr>
          <w:sz w:val="22"/>
          <w:szCs w:val="22"/>
        </w:rPr>
        <w:t xml:space="preserve"> an email, or making a purchase</w:t>
      </w:r>
    </w:p>
    <w:p w:rsidR="00076A6E" w:rsidRPr="00076A6E" w:rsidRDefault="00076A6E" w:rsidP="00076A6E">
      <w:pPr>
        <w:pStyle w:val="Default"/>
        <w:rPr>
          <w:sz w:val="22"/>
          <w:szCs w:val="22"/>
        </w:rPr>
      </w:pPr>
    </w:p>
    <w:p w:rsidR="009B4752" w:rsidRPr="000E1BEF" w:rsidRDefault="009B4752" w:rsidP="00B91793">
      <w:pPr>
        <w:pStyle w:val="Default"/>
        <w:numPr>
          <w:ilvl w:val="0"/>
          <w:numId w:val="2"/>
        </w:numPr>
        <w:rPr>
          <w:sz w:val="22"/>
          <w:szCs w:val="22"/>
        </w:rPr>
      </w:pPr>
      <w:r>
        <w:rPr>
          <w:color w:val="auto"/>
          <w:sz w:val="22"/>
          <w:szCs w:val="22"/>
        </w:rPr>
        <w:t xml:space="preserve">Addresses older than six (6) months, and certainly older than a year, have a lower “quality” rating because of the increased likelihood of those recipients to click the “This is spam” button. Depending upon the age of the email address, the email address may have been recycled by the ISP to another individual which could also cause recipient complaints. </w:t>
      </w:r>
    </w:p>
    <w:p w:rsidR="000E1BEF" w:rsidRDefault="000E1BEF" w:rsidP="000E1BEF">
      <w:pPr>
        <w:pStyle w:val="Default"/>
        <w:rPr>
          <w:color w:val="auto"/>
          <w:sz w:val="22"/>
          <w:szCs w:val="22"/>
        </w:rPr>
      </w:pPr>
    </w:p>
    <w:p w:rsidR="000E1BEF" w:rsidRPr="00076A6E" w:rsidRDefault="000E1BEF" w:rsidP="000E1BEF">
      <w:pPr>
        <w:pStyle w:val="Default"/>
        <w:rPr>
          <w:sz w:val="22"/>
          <w:szCs w:val="22"/>
        </w:rPr>
      </w:pPr>
      <w:r>
        <w:rPr>
          <w:color w:val="auto"/>
          <w:sz w:val="22"/>
          <w:szCs w:val="22"/>
        </w:rPr>
        <w:t>Unlike, with a White Listing campaign the aim is not just to select the ‘best’ contacts but to trying and develop an even balance between these ‘high’ and ‘low’ quality contacts. It is about ‘managing’ the bounces, not totally excluding them.</w:t>
      </w:r>
    </w:p>
    <w:p w:rsidR="009B4752" w:rsidRPr="004479D5" w:rsidRDefault="004479D5" w:rsidP="004479D5">
      <w:pPr>
        <w:pStyle w:val="Heading1"/>
        <w:rPr>
          <w:u w:val="single"/>
        </w:rPr>
      </w:pPr>
      <w:r w:rsidRPr="004479D5">
        <w:rPr>
          <w:u w:val="single"/>
        </w:rPr>
        <w:t>1</w:t>
      </w:r>
      <w:r w:rsidR="009B4752" w:rsidRPr="004479D5">
        <w:rPr>
          <w:u w:val="single"/>
        </w:rPr>
        <w:t>.</w:t>
      </w:r>
      <w:r w:rsidR="00B91793">
        <w:rPr>
          <w:u w:val="single"/>
        </w:rPr>
        <w:t>5</w:t>
      </w:r>
      <w:r w:rsidR="009B4752" w:rsidRPr="004479D5">
        <w:rPr>
          <w:u w:val="single"/>
        </w:rPr>
        <w:t xml:space="preserve"> Number of recipients for the </w:t>
      </w:r>
      <w:r w:rsidR="00E3728B">
        <w:rPr>
          <w:u w:val="single"/>
        </w:rPr>
        <w:t>Bulk Opt-In</w:t>
      </w:r>
      <w:r w:rsidR="009B4752" w:rsidRPr="004479D5">
        <w:rPr>
          <w:u w:val="single"/>
        </w:rPr>
        <w:t xml:space="preserve"> campaign </w:t>
      </w:r>
    </w:p>
    <w:p w:rsidR="00E3728B" w:rsidRDefault="00E3728B" w:rsidP="009B4752">
      <w:pPr>
        <w:rPr>
          <w:rFonts w:ascii="Arial" w:hAnsi="Arial" w:cs="Arial"/>
        </w:rPr>
      </w:pPr>
      <w:r>
        <w:rPr>
          <w:rFonts w:ascii="Arial" w:hAnsi="Arial" w:cs="Arial"/>
        </w:rPr>
        <w:t>The number of recipients you can add at any one point will depend both on the size of any current mailing list and the known quality of the data you wish to introduce.</w:t>
      </w:r>
      <w:bookmarkStart w:id="0" w:name="_GoBack"/>
      <w:bookmarkEnd w:id="0"/>
    </w:p>
    <w:p w:rsidR="00E3728B" w:rsidRDefault="00E3728B" w:rsidP="009B4752">
      <w:pPr>
        <w:rPr>
          <w:rFonts w:ascii="Arial" w:hAnsi="Arial" w:cs="Arial"/>
        </w:rPr>
      </w:pPr>
    </w:p>
    <w:p w:rsidR="00E3728B" w:rsidRDefault="00076A6E" w:rsidP="009B4752">
      <w:pPr>
        <w:rPr>
          <w:rFonts w:ascii="Arial" w:hAnsi="Arial" w:cs="Arial"/>
        </w:rPr>
      </w:pPr>
      <w:r w:rsidRPr="009B4752">
        <w:rPr>
          <w:rFonts w:ascii="Arial" w:hAnsi="Arial" w:cs="Arial"/>
        </w:rPr>
        <w:t xml:space="preserve">There are several other domains controlled by the major ISPs. </w:t>
      </w:r>
      <w:r w:rsidR="00E3728B">
        <w:rPr>
          <w:rFonts w:ascii="Arial" w:hAnsi="Arial" w:cs="Arial"/>
        </w:rPr>
        <w:t>All these domains have to be considered as one and the limits for the number of new contacts to add at once should be totalled across all of them.</w:t>
      </w:r>
    </w:p>
    <w:p w:rsidR="000D43C6" w:rsidRDefault="00E3728B" w:rsidP="009B4752">
      <w:pPr>
        <w:rPr>
          <w:rFonts w:ascii="Arial" w:hAnsi="Arial" w:cs="Arial"/>
        </w:rPr>
      </w:pPr>
      <w:r>
        <w:rPr>
          <w:rFonts w:ascii="Arial" w:hAnsi="Arial" w:cs="Arial"/>
        </w:rPr>
        <w:t>As such, t</w:t>
      </w:r>
      <w:r w:rsidR="009B4752" w:rsidRPr="009B4752">
        <w:rPr>
          <w:rFonts w:ascii="Arial" w:hAnsi="Arial" w:cs="Arial"/>
        </w:rPr>
        <w:t>he list</w:t>
      </w:r>
      <w:r>
        <w:rPr>
          <w:rFonts w:ascii="Arial" w:hAnsi="Arial" w:cs="Arial"/>
        </w:rPr>
        <w:t>s</w:t>
      </w:r>
      <w:r w:rsidR="009B4752" w:rsidRPr="009B4752">
        <w:rPr>
          <w:rFonts w:ascii="Arial" w:hAnsi="Arial" w:cs="Arial"/>
        </w:rPr>
        <w:t xml:space="preserve"> created should include global email addresses for the major ISPs</w:t>
      </w:r>
      <w:r>
        <w:rPr>
          <w:rFonts w:ascii="Arial" w:hAnsi="Arial" w:cs="Arial"/>
        </w:rPr>
        <w:t xml:space="preserve"> as</w:t>
      </w:r>
      <w:r w:rsidR="009B4752" w:rsidRPr="009B4752">
        <w:rPr>
          <w:rFonts w:ascii="Arial" w:hAnsi="Arial" w:cs="Arial"/>
        </w:rPr>
        <w:t xml:space="preserve"> shown </w:t>
      </w:r>
      <w:r w:rsidR="00076A6E">
        <w:rPr>
          <w:rFonts w:ascii="Arial" w:hAnsi="Arial" w:cs="Arial"/>
        </w:rPr>
        <w:t>in the table below:</w:t>
      </w:r>
      <w:r w:rsidR="009B4752" w:rsidRPr="009B4752">
        <w:rPr>
          <w:rFonts w:ascii="Arial" w:hAnsi="Arial" w:cs="Arial"/>
        </w:rPr>
        <w:t xml:space="preserve"> </w:t>
      </w:r>
    </w:p>
    <w:tbl>
      <w:tblPr>
        <w:tblW w:w="5043" w:type="pct"/>
        <w:tblLook w:val="04A0" w:firstRow="1" w:lastRow="0" w:firstColumn="1" w:lastColumn="0" w:noHBand="0" w:noVBand="1"/>
      </w:tblPr>
      <w:tblGrid>
        <w:gridCol w:w="1847"/>
        <w:gridCol w:w="1256"/>
        <w:gridCol w:w="1575"/>
        <w:gridCol w:w="2708"/>
        <w:gridCol w:w="2331"/>
      </w:tblGrid>
      <w:tr w:rsidR="00F74AAD" w:rsidRPr="00F74AAD" w:rsidTr="008F3336">
        <w:trPr>
          <w:trHeight w:val="315"/>
        </w:trPr>
        <w:tc>
          <w:tcPr>
            <w:tcW w:w="942" w:type="pct"/>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F74AAD" w:rsidRPr="00F74AAD" w:rsidRDefault="00F74AAD" w:rsidP="00F74AAD">
            <w:pPr>
              <w:spacing w:after="0" w:line="240" w:lineRule="auto"/>
              <w:jc w:val="center"/>
              <w:rPr>
                <w:rFonts w:ascii="Calibri" w:eastAsia="Times New Roman" w:hAnsi="Calibri" w:cs="Calibri"/>
                <w:b/>
                <w:bCs/>
                <w:color w:val="FFFFFF"/>
                <w:sz w:val="24"/>
                <w:szCs w:val="24"/>
                <w:lang w:eastAsia="en-GB"/>
              </w:rPr>
            </w:pPr>
            <w:r w:rsidRPr="00F74AAD">
              <w:rPr>
                <w:rFonts w:ascii="Calibri" w:eastAsia="Times New Roman" w:hAnsi="Calibri" w:cs="Calibri"/>
                <w:b/>
                <w:bCs/>
                <w:color w:val="FFFFFF"/>
                <w:sz w:val="24"/>
                <w:szCs w:val="24"/>
                <w:lang w:eastAsia="en-GB"/>
              </w:rPr>
              <w:t>AOL</w:t>
            </w:r>
          </w:p>
        </w:tc>
        <w:tc>
          <w:tcPr>
            <w:tcW w:w="643" w:type="pct"/>
            <w:tcBorders>
              <w:top w:val="single" w:sz="4" w:space="0" w:color="auto"/>
              <w:left w:val="nil"/>
              <w:bottom w:val="single" w:sz="4" w:space="0" w:color="auto"/>
              <w:right w:val="single" w:sz="4" w:space="0" w:color="auto"/>
            </w:tcBorders>
            <w:shd w:val="clear" w:color="000000" w:fill="000000"/>
            <w:noWrap/>
            <w:vAlign w:val="center"/>
            <w:hideMark/>
          </w:tcPr>
          <w:p w:rsidR="00F74AAD" w:rsidRPr="00F74AAD" w:rsidRDefault="00F74AAD" w:rsidP="00F74AAD">
            <w:pPr>
              <w:spacing w:after="0" w:line="240" w:lineRule="auto"/>
              <w:jc w:val="center"/>
              <w:rPr>
                <w:rFonts w:ascii="Calibri" w:eastAsia="Times New Roman" w:hAnsi="Calibri" w:cs="Calibri"/>
                <w:b/>
                <w:bCs/>
                <w:color w:val="FFFFFF"/>
                <w:sz w:val="24"/>
                <w:szCs w:val="24"/>
                <w:lang w:eastAsia="en-GB"/>
              </w:rPr>
            </w:pPr>
            <w:r w:rsidRPr="00F74AAD">
              <w:rPr>
                <w:rFonts w:ascii="Calibri" w:eastAsia="Times New Roman" w:hAnsi="Calibri" w:cs="Calibri"/>
                <w:b/>
                <w:bCs/>
                <w:color w:val="FFFFFF"/>
                <w:sz w:val="24"/>
                <w:szCs w:val="24"/>
                <w:lang w:eastAsia="en-GB"/>
              </w:rPr>
              <w:t>GMAIL</w:t>
            </w:r>
          </w:p>
        </w:tc>
        <w:tc>
          <w:tcPr>
            <w:tcW w:w="805" w:type="pct"/>
            <w:tcBorders>
              <w:top w:val="single" w:sz="4" w:space="0" w:color="auto"/>
              <w:left w:val="nil"/>
              <w:bottom w:val="single" w:sz="4" w:space="0" w:color="auto"/>
              <w:right w:val="single" w:sz="4" w:space="0" w:color="auto"/>
            </w:tcBorders>
            <w:shd w:val="clear" w:color="000000" w:fill="000000"/>
            <w:noWrap/>
            <w:vAlign w:val="center"/>
            <w:hideMark/>
          </w:tcPr>
          <w:p w:rsidR="00F74AAD" w:rsidRPr="00F74AAD" w:rsidRDefault="00F74AAD" w:rsidP="00F74AAD">
            <w:pPr>
              <w:spacing w:after="0" w:line="240" w:lineRule="auto"/>
              <w:jc w:val="center"/>
              <w:rPr>
                <w:rFonts w:ascii="Calibri" w:eastAsia="Times New Roman" w:hAnsi="Calibri" w:cs="Calibri"/>
                <w:b/>
                <w:bCs/>
                <w:color w:val="FFFFFF"/>
                <w:sz w:val="24"/>
                <w:szCs w:val="24"/>
                <w:lang w:eastAsia="en-GB"/>
              </w:rPr>
            </w:pPr>
            <w:r w:rsidRPr="00F74AAD">
              <w:rPr>
                <w:rFonts w:ascii="Calibri" w:eastAsia="Times New Roman" w:hAnsi="Calibri" w:cs="Calibri"/>
                <w:b/>
                <w:bCs/>
                <w:color w:val="FFFFFF"/>
                <w:sz w:val="24"/>
                <w:szCs w:val="24"/>
                <w:lang w:eastAsia="en-GB"/>
              </w:rPr>
              <w:t>MSN</w:t>
            </w:r>
          </w:p>
        </w:tc>
        <w:tc>
          <w:tcPr>
            <w:tcW w:w="1379" w:type="pct"/>
            <w:tcBorders>
              <w:top w:val="single" w:sz="4" w:space="0" w:color="auto"/>
              <w:left w:val="nil"/>
              <w:bottom w:val="single" w:sz="4" w:space="0" w:color="auto"/>
              <w:right w:val="single" w:sz="4" w:space="0" w:color="auto"/>
            </w:tcBorders>
            <w:shd w:val="clear" w:color="000000" w:fill="000000"/>
            <w:noWrap/>
            <w:vAlign w:val="center"/>
            <w:hideMark/>
          </w:tcPr>
          <w:p w:rsidR="00F74AAD" w:rsidRPr="00F74AAD" w:rsidRDefault="00F74AAD" w:rsidP="00F74AAD">
            <w:pPr>
              <w:spacing w:after="0" w:line="240" w:lineRule="auto"/>
              <w:jc w:val="center"/>
              <w:rPr>
                <w:rFonts w:ascii="Calibri" w:eastAsia="Times New Roman" w:hAnsi="Calibri" w:cs="Calibri"/>
                <w:b/>
                <w:bCs/>
                <w:color w:val="FFFFFF"/>
                <w:sz w:val="24"/>
                <w:szCs w:val="24"/>
                <w:lang w:eastAsia="en-GB"/>
              </w:rPr>
            </w:pPr>
            <w:r w:rsidRPr="00F74AAD">
              <w:rPr>
                <w:rFonts w:ascii="Calibri" w:eastAsia="Times New Roman" w:hAnsi="Calibri" w:cs="Calibri"/>
                <w:b/>
                <w:bCs/>
                <w:color w:val="FFFFFF"/>
                <w:sz w:val="24"/>
                <w:szCs w:val="24"/>
                <w:lang w:eastAsia="en-GB"/>
              </w:rPr>
              <w:t>VIRGIN</w:t>
            </w:r>
          </w:p>
        </w:tc>
        <w:tc>
          <w:tcPr>
            <w:tcW w:w="1231" w:type="pct"/>
            <w:tcBorders>
              <w:top w:val="single" w:sz="4" w:space="0" w:color="auto"/>
              <w:left w:val="nil"/>
              <w:bottom w:val="single" w:sz="4" w:space="0" w:color="auto"/>
              <w:right w:val="single" w:sz="4" w:space="0" w:color="auto"/>
            </w:tcBorders>
            <w:shd w:val="clear" w:color="000000" w:fill="000000"/>
            <w:noWrap/>
            <w:vAlign w:val="center"/>
            <w:hideMark/>
          </w:tcPr>
          <w:p w:rsidR="00F74AAD" w:rsidRPr="00F74AAD" w:rsidRDefault="00F74AAD" w:rsidP="00F74AAD">
            <w:pPr>
              <w:spacing w:after="0" w:line="240" w:lineRule="auto"/>
              <w:jc w:val="center"/>
              <w:rPr>
                <w:rFonts w:ascii="Calibri" w:eastAsia="Times New Roman" w:hAnsi="Calibri" w:cs="Calibri"/>
                <w:b/>
                <w:bCs/>
                <w:color w:val="FFFFFF"/>
                <w:sz w:val="24"/>
                <w:szCs w:val="24"/>
                <w:lang w:eastAsia="en-GB"/>
              </w:rPr>
            </w:pPr>
            <w:r w:rsidRPr="00F74AAD">
              <w:rPr>
                <w:rFonts w:ascii="Calibri" w:eastAsia="Times New Roman" w:hAnsi="Calibri" w:cs="Calibri"/>
                <w:b/>
                <w:bCs/>
                <w:color w:val="FFFFFF"/>
                <w:sz w:val="24"/>
                <w:szCs w:val="24"/>
                <w:lang w:eastAsia="en-GB"/>
              </w:rPr>
              <w:t>YAHOO</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1aol.com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gmail.co.uk</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hotmail</w:t>
            </w:r>
            <w:proofErr w:type="spellEnd"/>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ntlworld</w:t>
            </w:r>
            <w:proofErr w:type="spellEnd"/>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btbroadbandoffice.com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2aol.com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google.com</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live</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virgin</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btbusinessoffice.com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3aol.com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googlemail</w:t>
            </w:r>
            <w:proofErr w:type="spellEnd"/>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msn</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virginmedia</w:t>
            </w:r>
            <w:proofErr w:type="spellEnd"/>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btclick.com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4aol.com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prodigy.net.mx</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virginmedia.blackberry.com</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btconnect.com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5aol.com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q.com</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btinternet.com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6aol.com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windowslive</w:t>
            </w:r>
            <w:proofErr w:type="spellEnd"/>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btopenworld.com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7aol.com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qwest</w:t>
            </w:r>
            <w:proofErr w:type="spellEnd"/>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rocketmail.com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8aol.com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webtv</w:t>
            </w:r>
            <w:proofErr w:type="spellEnd"/>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sbcglobal.net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9aol.com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talk21.com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aim.com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aol</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yahoo.com.au</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aol.com.ar</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yahoo.com.cn</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aol.com.au</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yahoo.com.hk</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aol.com.br</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yahoo.com.mx</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lastRenderedPageBreak/>
              <w:t>aol.com.mx</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yahoo.com.sg</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aol.com.pr</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yahoo.com.tw</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aolmail.com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ymail.com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compuserve.com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ameritech.net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cs.com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flash.net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dial.pipex</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pacbell.net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gateway</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prodigy.net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homechoice.co.uk</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swbell.net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jp.aol.com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nvbell.net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netscape</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snet.net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pipex.it</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att.com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talktalk</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att.net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tiscali</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worldnet.att.net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tiscalinet</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rogers.com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wmconnect.com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bellsouth</w:t>
            </w:r>
            <w:proofErr w:type="spellEnd"/>
          </w:p>
        </w:tc>
      </w:tr>
    </w:tbl>
    <w:p w:rsidR="009B4752" w:rsidRDefault="009B4752" w:rsidP="009B4752">
      <w:pPr>
        <w:rPr>
          <w:rFonts w:ascii="Arial" w:hAnsi="Arial" w:cs="Arial"/>
        </w:rPr>
      </w:pPr>
    </w:p>
    <w:p w:rsidR="009B4752" w:rsidRDefault="009B4752" w:rsidP="009B4752">
      <w:pPr>
        <w:rPr>
          <w:rFonts w:ascii="Arial" w:hAnsi="Arial" w:cs="Arial"/>
        </w:rPr>
      </w:pPr>
    </w:p>
    <w:p w:rsidR="00091B47" w:rsidRDefault="0070480F" w:rsidP="004479D5">
      <w:pPr>
        <w:pStyle w:val="Heading1"/>
        <w:rPr>
          <w:u w:val="single"/>
        </w:rPr>
      </w:pPr>
      <w:r>
        <w:rPr>
          <w:u w:val="single"/>
        </w:rPr>
        <w:t>1</w:t>
      </w:r>
      <w:r w:rsidR="00091B47" w:rsidRPr="004479D5">
        <w:rPr>
          <w:u w:val="single"/>
        </w:rPr>
        <w:t>.4 Message Content Guidelines</w:t>
      </w:r>
    </w:p>
    <w:p w:rsidR="004479D5" w:rsidRPr="004479D5" w:rsidRDefault="004479D5" w:rsidP="004479D5">
      <w:pPr>
        <w:contextualSpacing/>
      </w:pPr>
    </w:p>
    <w:p w:rsidR="00091B47" w:rsidRPr="00091B47" w:rsidRDefault="00091B47" w:rsidP="00091B47">
      <w:pPr>
        <w:rPr>
          <w:rFonts w:ascii="Arial" w:hAnsi="Arial" w:cs="Arial"/>
        </w:rPr>
      </w:pPr>
      <w:r w:rsidRPr="00091B47">
        <w:rPr>
          <w:rFonts w:ascii="Arial" w:hAnsi="Arial" w:cs="Arial"/>
        </w:rPr>
        <w:t>During this reputation building period the best warm-up campaigns (and initial campaigns following the warm-up) are mainly informational in nature rather than heavily promotional. Messages that are warm, inviting, informational, and demonstrate to the recipient the benefits of receiving mail from you are ideal.</w:t>
      </w:r>
    </w:p>
    <w:p w:rsidR="00091B47" w:rsidRPr="00091B47" w:rsidRDefault="00091B47" w:rsidP="00091B47">
      <w:pPr>
        <w:rPr>
          <w:rFonts w:ascii="Arial" w:hAnsi="Arial" w:cs="Arial"/>
        </w:rPr>
      </w:pPr>
      <w:r w:rsidRPr="00091B47">
        <w:rPr>
          <w:rFonts w:ascii="Arial" w:hAnsi="Arial" w:cs="Arial"/>
        </w:rPr>
        <w:t>Re-activation, up-sell, lead generation campaigns, or the like naturally have a higher bounce rate and spam complaint rate and an IP address with a neutral reputation or short reputation history does not have enough history to weather the natural spikes of the more aggressive promotional campaigns. The reasoning is akin to a financial credit score when starting or graduating from college; your credit history is short, so creditors provide you a low spending limit, and after establishing a consistent payment history and history of responsible spending the creditors increase your credit limit and give you allowances for small blips that may occur in your credit life.</w:t>
      </w:r>
    </w:p>
    <w:p w:rsidR="009B4752" w:rsidRDefault="00091B47" w:rsidP="00091B47">
      <w:pPr>
        <w:rPr>
          <w:rFonts w:ascii="Arial" w:hAnsi="Arial" w:cs="Arial"/>
        </w:rPr>
      </w:pPr>
      <w:r w:rsidRPr="00091B47">
        <w:rPr>
          <w:rFonts w:ascii="Arial" w:hAnsi="Arial" w:cs="Arial"/>
        </w:rPr>
        <w:t>Recipients are quite choosey when scanning their inboxes and can delete or mark a message as spam based on the “from” address, sender name or subject without opening the message. Clearly stating the customer's brand in these</w:t>
      </w:r>
      <w:r>
        <w:rPr>
          <w:rFonts w:ascii="Arial" w:hAnsi="Arial" w:cs="Arial"/>
        </w:rPr>
        <w:t xml:space="preserve"> </w:t>
      </w:r>
      <w:r w:rsidRPr="00091B47">
        <w:rPr>
          <w:rFonts w:ascii="Arial" w:hAnsi="Arial" w:cs="Arial"/>
        </w:rPr>
        <w:t>locations as obviously as possible should help keep the customer's spam complaint rate low.</w:t>
      </w:r>
    </w:p>
    <w:p w:rsidR="00076A6E" w:rsidRDefault="00076A6E" w:rsidP="00091B47">
      <w:pPr>
        <w:rPr>
          <w:rFonts w:ascii="Arial" w:hAnsi="Arial" w:cs="Arial"/>
        </w:rPr>
      </w:pPr>
      <w:r>
        <w:rPr>
          <w:rFonts w:ascii="Arial" w:hAnsi="Arial" w:cs="Arial"/>
        </w:rPr>
        <w:t xml:space="preserve">Where possible, recipients should also be encouraged to add this new “from” address to any ‘safe’ list or ‘trusted source’ list provided by </w:t>
      </w:r>
      <w:proofErr w:type="spellStart"/>
      <w:r>
        <w:rPr>
          <w:rFonts w:ascii="Arial" w:hAnsi="Arial" w:cs="Arial"/>
        </w:rPr>
        <w:t>there</w:t>
      </w:r>
      <w:proofErr w:type="spellEnd"/>
      <w:r>
        <w:rPr>
          <w:rFonts w:ascii="Arial" w:hAnsi="Arial" w:cs="Arial"/>
        </w:rPr>
        <w:t xml:space="preserve"> ISP as this will dramatically improve a new </w:t>
      </w:r>
      <w:proofErr w:type="gramStart"/>
      <w:r>
        <w:rPr>
          <w:rFonts w:ascii="Arial" w:hAnsi="Arial" w:cs="Arial"/>
        </w:rPr>
        <w:t>senders</w:t>
      </w:r>
      <w:proofErr w:type="gramEnd"/>
      <w:r>
        <w:rPr>
          <w:rFonts w:ascii="Arial" w:hAnsi="Arial" w:cs="Arial"/>
        </w:rPr>
        <w:t xml:space="preserve"> reputation.</w:t>
      </w:r>
    </w:p>
    <w:p w:rsidR="00091B47" w:rsidRPr="004479D5" w:rsidRDefault="0070480F" w:rsidP="004479D5">
      <w:pPr>
        <w:pStyle w:val="Heading1"/>
        <w:rPr>
          <w:u w:val="single"/>
        </w:rPr>
      </w:pPr>
      <w:r>
        <w:rPr>
          <w:u w:val="single"/>
        </w:rPr>
        <w:lastRenderedPageBreak/>
        <w:t>1</w:t>
      </w:r>
      <w:r w:rsidR="00091B47" w:rsidRPr="004479D5">
        <w:rPr>
          <w:u w:val="single"/>
        </w:rPr>
        <w:t>.</w:t>
      </w:r>
      <w:r>
        <w:rPr>
          <w:u w:val="single"/>
        </w:rPr>
        <w:t>5</w:t>
      </w:r>
      <w:r w:rsidR="00091B47" w:rsidRPr="004479D5">
        <w:rPr>
          <w:u w:val="single"/>
        </w:rPr>
        <w:t xml:space="preserve"> Final Steps to Complete the Warm-up Process</w:t>
      </w:r>
    </w:p>
    <w:p w:rsidR="00091B47" w:rsidRPr="00091B47" w:rsidRDefault="00076A6E" w:rsidP="00091B47">
      <w:pPr>
        <w:rPr>
          <w:rFonts w:ascii="Arial" w:hAnsi="Arial" w:cs="Arial"/>
        </w:rPr>
      </w:pPr>
      <w:r>
        <w:rPr>
          <w:rFonts w:ascii="Arial" w:hAnsi="Arial" w:cs="Arial"/>
        </w:rPr>
        <w:t>Assuming everything has gone successfully there are one or two final checks that should be completed before</w:t>
      </w:r>
      <w:r w:rsidR="00260607">
        <w:rPr>
          <w:rFonts w:ascii="Arial" w:hAnsi="Arial" w:cs="Arial"/>
        </w:rPr>
        <w:t xml:space="preserve"> finishing any White Listing Campaign.</w:t>
      </w:r>
    </w:p>
    <w:p w:rsidR="00091B47" w:rsidRPr="004479D5" w:rsidRDefault="0070480F" w:rsidP="004479D5">
      <w:pPr>
        <w:pStyle w:val="Heading1"/>
        <w:rPr>
          <w:u w:val="single"/>
        </w:rPr>
      </w:pPr>
      <w:r>
        <w:rPr>
          <w:u w:val="single"/>
        </w:rPr>
        <w:t>1.5</w:t>
      </w:r>
      <w:r w:rsidR="00091B47" w:rsidRPr="004479D5">
        <w:rPr>
          <w:u w:val="single"/>
        </w:rPr>
        <w:t xml:space="preserve">.1 Ensure ISP White </w:t>
      </w:r>
      <w:proofErr w:type="gramStart"/>
      <w:r w:rsidR="00091B47" w:rsidRPr="004479D5">
        <w:rPr>
          <w:u w:val="single"/>
        </w:rPr>
        <w:t>Listing</w:t>
      </w:r>
      <w:proofErr w:type="gramEnd"/>
      <w:r w:rsidR="00091B47" w:rsidRPr="004479D5">
        <w:rPr>
          <w:u w:val="single"/>
        </w:rPr>
        <w:t xml:space="preserve"> has Completed Before Sending</w:t>
      </w:r>
    </w:p>
    <w:p w:rsidR="00091B47" w:rsidRPr="00091B47" w:rsidRDefault="00260607" w:rsidP="00091B47">
      <w:pPr>
        <w:rPr>
          <w:rFonts w:ascii="Arial" w:hAnsi="Arial" w:cs="Arial"/>
        </w:rPr>
      </w:pPr>
      <w:r>
        <w:rPr>
          <w:rFonts w:ascii="Arial" w:hAnsi="Arial" w:cs="Arial"/>
        </w:rPr>
        <w:t xml:space="preserve">Consult with Alchemy </w:t>
      </w:r>
      <w:proofErr w:type="spellStart"/>
      <w:r>
        <w:rPr>
          <w:rFonts w:ascii="Arial" w:hAnsi="Arial" w:cs="Arial"/>
        </w:rPr>
        <w:t>Worx</w:t>
      </w:r>
      <w:proofErr w:type="spellEnd"/>
      <w:r>
        <w:rPr>
          <w:rFonts w:ascii="Arial" w:hAnsi="Arial" w:cs="Arial"/>
        </w:rPr>
        <w:t xml:space="preserve"> and the </w:t>
      </w:r>
      <w:r>
        <w:rPr>
          <w:rFonts w:ascii="Arial" w:hAnsi="Arial" w:cs="Arial"/>
        </w:rPr>
        <w:t>ESP in question</w:t>
      </w:r>
      <w:r w:rsidRPr="00091B47">
        <w:rPr>
          <w:rFonts w:ascii="Arial" w:hAnsi="Arial" w:cs="Arial"/>
        </w:rPr>
        <w:t xml:space="preserve"> to</w:t>
      </w:r>
      <w:r>
        <w:rPr>
          <w:rFonts w:ascii="Arial" w:hAnsi="Arial" w:cs="Arial"/>
        </w:rPr>
        <w:t xml:space="preserve"> confirm that the White Listing has complete</w:t>
      </w:r>
      <w:r w:rsidR="00091B47" w:rsidRPr="00091B47">
        <w:rPr>
          <w:rFonts w:ascii="Arial" w:hAnsi="Arial" w:cs="Arial"/>
        </w:rPr>
        <w:t>.</w:t>
      </w:r>
      <w:r>
        <w:rPr>
          <w:rFonts w:ascii="Arial" w:hAnsi="Arial" w:cs="Arial"/>
        </w:rPr>
        <w:t xml:space="preserve"> Most major ESP’s will have Deliverability Experts on hand to help you and who will often contact the ISP’s directly to ensure this certification.</w:t>
      </w:r>
    </w:p>
    <w:p w:rsidR="00091B47" w:rsidRPr="004479D5" w:rsidRDefault="0070480F" w:rsidP="004479D5">
      <w:pPr>
        <w:pStyle w:val="Heading1"/>
        <w:rPr>
          <w:u w:val="single"/>
        </w:rPr>
      </w:pPr>
      <w:r>
        <w:rPr>
          <w:u w:val="single"/>
        </w:rPr>
        <w:t>1.5</w:t>
      </w:r>
      <w:r w:rsidR="00091B47" w:rsidRPr="004479D5">
        <w:rPr>
          <w:u w:val="single"/>
        </w:rPr>
        <w:t>.2 Assess the Success of Your Warm-up Process.</w:t>
      </w:r>
    </w:p>
    <w:p w:rsidR="00091B47" w:rsidRPr="00091B47" w:rsidRDefault="00091B47" w:rsidP="00076A6E">
      <w:pPr>
        <w:rPr>
          <w:rFonts w:ascii="Arial" w:hAnsi="Arial" w:cs="Arial"/>
        </w:rPr>
      </w:pPr>
      <w:r w:rsidRPr="00091B47">
        <w:rPr>
          <w:rFonts w:ascii="Arial" w:hAnsi="Arial" w:cs="Arial"/>
        </w:rPr>
        <w:t>In order to understand the successful of the warm-up process, please review the following</w:t>
      </w:r>
      <w:r w:rsidR="00076A6E">
        <w:rPr>
          <w:rFonts w:ascii="Arial" w:hAnsi="Arial" w:cs="Arial"/>
        </w:rPr>
        <w:t>:</w:t>
      </w:r>
      <w:r w:rsidRPr="00091B47">
        <w:rPr>
          <w:rFonts w:ascii="Arial" w:hAnsi="Arial" w:cs="Arial"/>
        </w:rPr>
        <w:t xml:space="preserve"> </w:t>
      </w:r>
    </w:p>
    <w:p w:rsidR="00076A6E" w:rsidRDefault="00091B47" w:rsidP="00091B47">
      <w:pPr>
        <w:rPr>
          <w:rFonts w:ascii="Arial" w:hAnsi="Arial" w:cs="Arial"/>
        </w:rPr>
      </w:pPr>
      <w:r w:rsidRPr="00091B47">
        <w:rPr>
          <w:rFonts w:ascii="Arial" w:hAnsi="Arial" w:cs="Arial"/>
        </w:rPr>
        <w:t xml:space="preserve">Look for the bounce and complaint rates. Consult with </w:t>
      </w:r>
      <w:r w:rsidR="00076A6E">
        <w:rPr>
          <w:rFonts w:ascii="Arial" w:hAnsi="Arial" w:cs="Arial"/>
        </w:rPr>
        <w:t xml:space="preserve">Alchemy </w:t>
      </w:r>
      <w:proofErr w:type="spellStart"/>
      <w:r w:rsidR="00076A6E">
        <w:rPr>
          <w:rFonts w:ascii="Arial" w:hAnsi="Arial" w:cs="Arial"/>
        </w:rPr>
        <w:t>Worx</w:t>
      </w:r>
      <w:proofErr w:type="spellEnd"/>
      <w:r w:rsidR="00076A6E">
        <w:rPr>
          <w:rFonts w:ascii="Arial" w:hAnsi="Arial" w:cs="Arial"/>
        </w:rPr>
        <w:t xml:space="preserve"> and the ESP in question</w:t>
      </w:r>
      <w:r w:rsidRPr="00091B47">
        <w:rPr>
          <w:rFonts w:ascii="Arial" w:hAnsi="Arial" w:cs="Arial"/>
        </w:rPr>
        <w:t xml:space="preserve"> to determine if the mailings are within a “safe” range and under the ISP’s acceptable threshold to move forward. </w:t>
      </w:r>
    </w:p>
    <w:p w:rsidR="00091B47" w:rsidRPr="00091B47" w:rsidRDefault="00091B47" w:rsidP="00091B47">
      <w:pPr>
        <w:rPr>
          <w:rFonts w:ascii="Arial" w:hAnsi="Arial" w:cs="Arial"/>
        </w:rPr>
      </w:pPr>
      <w:r w:rsidRPr="00091B47">
        <w:rPr>
          <w:rFonts w:ascii="Arial" w:hAnsi="Arial" w:cs="Arial"/>
        </w:rPr>
        <w:t xml:space="preserve">Once these results have been evaluated it is safe to </w:t>
      </w:r>
      <w:proofErr w:type="gramStart"/>
      <w:r w:rsidRPr="00091B47">
        <w:rPr>
          <w:rFonts w:ascii="Arial" w:hAnsi="Arial" w:cs="Arial"/>
        </w:rPr>
        <w:t>migrate</w:t>
      </w:r>
      <w:proofErr w:type="gramEnd"/>
      <w:r w:rsidRPr="00091B47">
        <w:rPr>
          <w:rFonts w:ascii="Arial" w:hAnsi="Arial" w:cs="Arial"/>
        </w:rPr>
        <w:t xml:space="preserve"> the rest of the distribution list and send the first few campaigns.</w:t>
      </w:r>
    </w:p>
    <w:p w:rsidR="00091B47" w:rsidRDefault="00091B47" w:rsidP="00091B47">
      <w:pPr>
        <w:rPr>
          <w:rFonts w:ascii="Arial" w:hAnsi="Arial" w:cs="Arial"/>
        </w:rPr>
      </w:pPr>
      <w:r w:rsidRPr="00091B47">
        <w:rPr>
          <w:rFonts w:ascii="Arial" w:hAnsi="Arial" w:cs="Arial"/>
        </w:rPr>
        <w:t xml:space="preserve">During the IP address reputation building campaigns, it is important to keep the numbers of Spam </w:t>
      </w:r>
      <w:r w:rsidRPr="004479D5">
        <w:rPr>
          <w:rFonts w:ascii="Arial" w:hAnsi="Arial" w:cs="Arial"/>
          <w:color w:val="000000"/>
        </w:rPr>
        <w:t>Complaints and bounces low. As mentioned above, these numbers should be monitored</w:t>
      </w:r>
      <w:r w:rsidRPr="00091B47">
        <w:rPr>
          <w:rFonts w:ascii="Arial" w:hAnsi="Arial" w:cs="Arial"/>
        </w:rPr>
        <w:t xml:space="preserve"> on a daily basis.</w:t>
      </w:r>
      <w:r>
        <w:rPr>
          <w:rFonts w:ascii="Arial" w:hAnsi="Arial" w:cs="Arial"/>
        </w:rPr>
        <w:t xml:space="preserve"> </w:t>
      </w:r>
      <w:r w:rsidRPr="00091B47">
        <w:rPr>
          <w:rFonts w:ascii="Arial" w:hAnsi="Arial" w:cs="Arial"/>
        </w:rPr>
        <w:t>If these numbers get higher than the thresholds in the table below, please contact your Deliverability Consultant immediately.</w:t>
      </w:r>
    </w:p>
    <w:p w:rsidR="00091B47" w:rsidRDefault="00091B47" w:rsidP="00091B47">
      <w:pPr>
        <w:rPr>
          <w:rFonts w:ascii="Arial" w:hAnsi="Arial" w:cs="Arial"/>
        </w:rPr>
      </w:pPr>
    </w:p>
    <w:tbl>
      <w:tblPr>
        <w:tblW w:w="5000" w:type="pct"/>
        <w:tblLayout w:type="fixed"/>
        <w:tblLook w:val="04A0" w:firstRow="1" w:lastRow="0" w:firstColumn="1" w:lastColumn="0" w:noHBand="0" w:noVBand="1"/>
      </w:tblPr>
      <w:tblGrid>
        <w:gridCol w:w="1954"/>
        <w:gridCol w:w="1274"/>
        <w:gridCol w:w="1081"/>
        <w:gridCol w:w="1652"/>
        <w:gridCol w:w="1641"/>
        <w:gridCol w:w="1640"/>
      </w:tblGrid>
      <w:tr w:rsidR="00091B47" w:rsidRPr="00091B47" w:rsidTr="00091B47">
        <w:trPr>
          <w:trHeight w:val="300"/>
        </w:trPr>
        <w:tc>
          <w:tcPr>
            <w:tcW w:w="1057" w:type="pct"/>
            <w:tcBorders>
              <w:top w:val="single" w:sz="8" w:space="0" w:color="auto"/>
              <w:left w:val="single" w:sz="8" w:space="0" w:color="auto"/>
              <w:bottom w:val="nil"/>
              <w:right w:val="single" w:sz="4" w:space="0" w:color="auto"/>
            </w:tcBorders>
            <w:shd w:val="clear" w:color="000000" w:fill="000000"/>
            <w:noWrap/>
            <w:hideMark/>
          </w:tcPr>
          <w:p w:rsidR="00091B47" w:rsidRPr="00091B47" w:rsidRDefault="00091B47" w:rsidP="00091B47">
            <w:pPr>
              <w:spacing w:after="0" w:line="240" w:lineRule="auto"/>
              <w:rPr>
                <w:rFonts w:ascii="Calibri" w:eastAsia="Times New Roman" w:hAnsi="Calibri" w:cs="Calibri"/>
                <w:b/>
                <w:bCs/>
                <w:color w:val="000000"/>
                <w:lang w:eastAsia="en-GB"/>
              </w:rPr>
            </w:pPr>
            <w:r w:rsidRPr="00091B47">
              <w:rPr>
                <w:rFonts w:ascii="Calibri" w:eastAsia="Times New Roman" w:hAnsi="Calibri" w:cs="Calibri"/>
                <w:b/>
                <w:bCs/>
                <w:color w:val="000000"/>
                <w:lang w:eastAsia="en-GB"/>
              </w:rPr>
              <w:t>ISP</w:t>
            </w:r>
          </w:p>
        </w:tc>
        <w:tc>
          <w:tcPr>
            <w:tcW w:w="689" w:type="pct"/>
            <w:tcBorders>
              <w:top w:val="single" w:sz="8" w:space="0" w:color="auto"/>
              <w:left w:val="single" w:sz="8" w:space="0" w:color="auto"/>
              <w:bottom w:val="nil"/>
              <w:right w:val="single" w:sz="4" w:space="0" w:color="auto"/>
            </w:tcBorders>
            <w:shd w:val="clear" w:color="000000" w:fill="000000"/>
            <w:noWrap/>
            <w:vAlign w:val="center"/>
            <w:hideMark/>
          </w:tcPr>
          <w:p w:rsidR="00091B47" w:rsidRPr="00091B47" w:rsidRDefault="00091B47" w:rsidP="00091B47">
            <w:pPr>
              <w:spacing w:after="0" w:line="240" w:lineRule="auto"/>
              <w:jc w:val="center"/>
              <w:rPr>
                <w:rFonts w:ascii="Calibri" w:eastAsia="Times New Roman" w:hAnsi="Calibri" w:cs="Calibri"/>
                <w:b/>
                <w:bCs/>
                <w:color w:val="FFFFFF"/>
                <w:lang w:eastAsia="en-GB"/>
              </w:rPr>
            </w:pPr>
            <w:r w:rsidRPr="00091B47">
              <w:rPr>
                <w:rFonts w:ascii="Calibri" w:eastAsia="Times New Roman" w:hAnsi="Calibri" w:cs="Calibri"/>
                <w:b/>
                <w:bCs/>
                <w:color w:val="FFFFFF"/>
                <w:lang w:eastAsia="en-GB"/>
              </w:rPr>
              <w:t>AOL</w:t>
            </w:r>
          </w:p>
        </w:tc>
        <w:tc>
          <w:tcPr>
            <w:tcW w:w="585" w:type="pct"/>
            <w:tcBorders>
              <w:top w:val="single" w:sz="8" w:space="0" w:color="auto"/>
              <w:left w:val="single" w:sz="8" w:space="0" w:color="auto"/>
              <w:bottom w:val="nil"/>
              <w:right w:val="single" w:sz="4" w:space="0" w:color="auto"/>
            </w:tcBorders>
            <w:shd w:val="clear" w:color="000000" w:fill="000000"/>
            <w:noWrap/>
            <w:vAlign w:val="center"/>
            <w:hideMark/>
          </w:tcPr>
          <w:p w:rsidR="00091B47" w:rsidRPr="00091B47" w:rsidRDefault="00091B47" w:rsidP="00091B47">
            <w:pPr>
              <w:spacing w:after="0" w:line="240" w:lineRule="auto"/>
              <w:jc w:val="center"/>
              <w:rPr>
                <w:rFonts w:ascii="Calibri" w:eastAsia="Times New Roman" w:hAnsi="Calibri" w:cs="Calibri"/>
                <w:b/>
                <w:bCs/>
                <w:color w:val="FFFFFF"/>
                <w:lang w:eastAsia="en-GB"/>
              </w:rPr>
            </w:pPr>
            <w:r w:rsidRPr="00091B47">
              <w:rPr>
                <w:rFonts w:ascii="Calibri" w:eastAsia="Times New Roman" w:hAnsi="Calibri" w:cs="Calibri"/>
                <w:b/>
                <w:bCs/>
                <w:color w:val="FFFFFF"/>
                <w:lang w:eastAsia="en-GB"/>
              </w:rPr>
              <w:t>GMAIL</w:t>
            </w:r>
          </w:p>
        </w:tc>
        <w:tc>
          <w:tcPr>
            <w:tcW w:w="894" w:type="pct"/>
            <w:tcBorders>
              <w:top w:val="single" w:sz="8" w:space="0" w:color="auto"/>
              <w:left w:val="single" w:sz="8" w:space="0" w:color="auto"/>
              <w:bottom w:val="nil"/>
              <w:right w:val="single" w:sz="4" w:space="0" w:color="auto"/>
            </w:tcBorders>
            <w:shd w:val="clear" w:color="000000" w:fill="000000"/>
            <w:noWrap/>
            <w:vAlign w:val="center"/>
            <w:hideMark/>
          </w:tcPr>
          <w:p w:rsidR="00091B47" w:rsidRPr="00091B47" w:rsidRDefault="00091B47" w:rsidP="00091B47">
            <w:pPr>
              <w:spacing w:after="0" w:line="240" w:lineRule="auto"/>
              <w:jc w:val="center"/>
              <w:rPr>
                <w:rFonts w:ascii="Calibri" w:eastAsia="Times New Roman" w:hAnsi="Calibri" w:cs="Calibri"/>
                <w:b/>
                <w:bCs/>
                <w:color w:val="FFFFFF"/>
                <w:lang w:eastAsia="en-GB"/>
              </w:rPr>
            </w:pPr>
            <w:r w:rsidRPr="00091B47">
              <w:rPr>
                <w:rFonts w:ascii="Calibri" w:eastAsia="Times New Roman" w:hAnsi="Calibri" w:cs="Calibri"/>
                <w:b/>
                <w:bCs/>
                <w:color w:val="FFFFFF"/>
                <w:lang w:eastAsia="en-GB"/>
              </w:rPr>
              <w:t>MSN</w:t>
            </w:r>
          </w:p>
        </w:tc>
        <w:tc>
          <w:tcPr>
            <w:tcW w:w="888" w:type="pct"/>
            <w:tcBorders>
              <w:top w:val="single" w:sz="8" w:space="0" w:color="auto"/>
              <w:left w:val="single" w:sz="8" w:space="0" w:color="auto"/>
              <w:bottom w:val="nil"/>
              <w:right w:val="single" w:sz="4" w:space="0" w:color="auto"/>
            </w:tcBorders>
            <w:shd w:val="clear" w:color="000000" w:fill="000000"/>
            <w:noWrap/>
            <w:vAlign w:val="center"/>
            <w:hideMark/>
          </w:tcPr>
          <w:p w:rsidR="00091B47" w:rsidRPr="00091B47" w:rsidRDefault="00091B47" w:rsidP="00091B47">
            <w:pPr>
              <w:spacing w:after="0" w:line="240" w:lineRule="auto"/>
              <w:jc w:val="center"/>
              <w:rPr>
                <w:rFonts w:ascii="Calibri" w:eastAsia="Times New Roman" w:hAnsi="Calibri" w:cs="Calibri"/>
                <w:b/>
                <w:bCs/>
                <w:color w:val="FFFFFF"/>
                <w:lang w:eastAsia="en-GB"/>
              </w:rPr>
            </w:pPr>
            <w:r w:rsidRPr="00091B47">
              <w:rPr>
                <w:rFonts w:ascii="Calibri" w:eastAsia="Times New Roman" w:hAnsi="Calibri" w:cs="Calibri"/>
                <w:b/>
                <w:bCs/>
                <w:color w:val="FFFFFF"/>
                <w:lang w:eastAsia="en-GB"/>
              </w:rPr>
              <w:t>YAHOO</w:t>
            </w:r>
          </w:p>
        </w:tc>
        <w:tc>
          <w:tcPr>
            <w:tcW w:w="887" w:type="pct"/>
            <w:tcBorders>
              <w:top w:val="single" w:sz="8" w:space="0" w:color="auto"/>
              <w:left w:val="single" w:sz="8" w:space="0" w:color="auto"/>
              <w:bottom w:val="nil"/>
              <w:right w:val="single" w:sz="8" w:space="0" w:color="auto"/>
            </w:tcBorders>
            <w:shd w:val="clear" w:color="000000" w:fill="000000"/>
            <w:noWrap/>
            <w:vAlign w:val="center"/>
            <w:hideMark/>
          </w:tcPr>
          <w:p w:rsidR="00091B47" w:rsidRPr="00091B47" w:rsidRDefault="00091B47" w:rsidP="00091B47">
            <w:pPr>
              <w:spacing w:after="0" w:line="240" w:lineRule="auto"/>
              <w:jc w:val="center"/>
              <w:rPr>
                <w:rFonts w:ascii="Calibri" w:eastAsia="Times New Roman" w:hAnsi="Calibri" w:cs="Calibri"/>
                <w:b/>
                <w:bCs/>
                <w:color w:val="FFFFFF"/>
                <w:lang w:eastAsia="en-GB"/>
              </w:rPr>
            </w:pPr>
            <w:r w:rsidRPr="00091B47">
              <w:rPr>
                <w:rFonts w:ascii="Calibri" w:eastAsia="Times New Roman" w:hAnsi="Calibri" w:cs="Calibri"/>
                <w:b/>
                <w:bCs/>
                <w:color w:val="FFFFFF"/>
                <w:lang w:eastAsia="en-GB"/>
              </w:rPr>
              <w:t>VIRGIN</w:t>
            </w:r>
          </w:p>
        </w:tc>
      </w:tr>
      <w:tr w:rsidR="00091B47" w:rsidRPr="00091B47" w:rsidTr="00091B47">
        <w:trPr>
          <w:trHeight w:val="300"/>
        </w:trPr>
        <w:tc>
          <w:tcPr>
            <w:tcW w:w="1057" w:type="pct"/>
            <w:tcBorders>
              <w:top w:val="single" w:sz="4" w:space="0" w:color="auto"/>
              <w:left w:val="single" w:sz="8" w:space="0" w:color="auto"/>
              <w:bottom w:val="single" w:sz="4" w:space="0" w:color="auto"/>
              <w:right w:val="single" w:sz="4" w:space="0" w:color="auto"/>
            </w:tcBorders>
            <w:shd w:val="clear" w:color="auto" w:fill="auto"/>
            <w:hideMark/>
          </w:tcPr>
          <w:p w:rsidR="00091B47" w:rsidRPr="00091B47" w:rsidRDefault="00091B47" w:rsidP="00091B47">
            <w:pPr>
              <w:spacing w:after="0" w:line="240" w:lineRule="auto"/>
              <w:rPr>
                <w:rFonts w:ascii="Calibri" w:eastAsia="Times New Roman" w:hAnsi="Calibri" w:cs="Calibri"/>
                <w:b/>
                <w:bCs/>
                <w:color w:val="000000"/>
                <w:lang w:eastAsia="en-GB"/>
              </w:rPr>
            </w:pPr>
            <w:r w:rsidRPr="00091B47">
              <w:rPr>
                <w:rFonts w:ascii="Calibri" w:eastAsia="Times New Roman" w:hAnsi="Calibri" w:cs="Calibri"/>
                <w:b/>
                <w:bCs/>
                <w:color w:val="000000"/>
                <w:lang w:eastAsia="en-GB"/>
              </w:rPr>
              <w:t>Max Send Volume per Day</w:t>
            </w:r>
          </w:p>
        </w:tc>
        <w:tc>
          <w:tcPr>
            <w:tcW w:w="689" w:type="pct"/>
            <w:tcBorders>
              <w:top w:val="single" w:sz="4" w:space="0" w:color="auto"/>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3,500</w:t>
            </w:r>
          </w:p>
        </w:tc>
        <w:tc>
          <w:tcPr>
            <w:tcW w:w="585" w:type="pct"/>
            <w:tcBorders>
              <w:top w:val="single" w:sz="4" w:space="0" w:color="auto"/>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5,000</w:t>
            </w:r>
          </w:p>
        </w:tc>
        <w:tc>
          <w:tcPr>
            <w:tcW w:w="894" w:type="pct"/>
            <w:tcBorders>
              <w:top w:val="single" w:sz="4" w:space="0" w:color="auto"/>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10,000</w:t>
            </w:r>
          </w:p>
        </w:tc>
        <w:tc>
          <w:tcPr>
            <w:tcW w:w="888" w:type="pct"/>
            <w:tcBorders>
              <w:top w:val="single" w:sz="4" w:space="0" w:color="auto"/>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5,000</w:t>
            </w:r>
          </w:p>
        </w:tc>
        <w:tc>
          <w:tcPr>
            <w:tcW w:w="887" w:type="pct"/>
            <w:tcBorders>
              <w:top w:val="single" w:sz="4" w:space="0" w:color="auto"/>
              <w:left w:val="nil"/>
              <w:bottom w:val="single" w:sz="4" w:space="0" w:color="auto"/>
              <w:right w:val="single" w:sz="8"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2,500</w:t>
            </w:r>
          </w:p>
        </w:tc>
      </w:tr>
      <w:tr w:rsidR="00091B47" w:rsidRPr="00091B47" w:rsidTr="00091B47">
        <w:trPr>
          <w:trHeight w:val="300"/>
        </w:trPr>
        <w:tc>
          <w:tcPr>
            <w:tcW w:w="1057" w:type="pct"/>
            <w:tcBorders>
              <w:top w:val="nil"/>
              <w:left w:val="single" w:sz="8" w:space="0" w:color="auto"/>
              <w:bottom w:val="single" w:sz="4" w:space="0" w:color="auto"/>
              <w:right w:val="single" w:sz="4" w:space="0" w:color="auto"/>
            </w:tcBorders>
            <w:shd w:val="clear" w:color="000000" w:fill="D9D9D9"/>
            <w:hideMark/>
          </w:tcPr>
          <w:p w:rsidR="00091B47" w:rsidRPr="00091B47" w:rsidRDefault="00091B47" w:rsidP="00091B47">
            <w:pPr>
              <w:spacing w:after="0" w:line="240" w:lineRule="auto"/>
              <w:rPr>
                <w:rFonts w:ascii="Calibri" w:eastAsia="Times New Roman" w:hAnsi="Calibri" w:cs="Calibri"/>
                <w:b/>
                <w:bCs/>
                <w:color w:val="000000"/>
                <w:lang w:eastAsia="en-GB"/>
              </w:rPr>
            </w:pPr>
            <w:r w:rsidRPr="00091B47">
              <w:rPr>
                <w:rFonts w:ascii="Calibri" w:eastAsia="Times New Roman" w:hAnsi="Calibri" w:cs="Calibri"/>
                <w:b/>
                <w:bCs/>
                <w:color w:val="000000"/>
                <w:lang w:eastAsia="en-GB"/>
              </w:rPr>
              <w:t>Acceptable Spam Complaint Rate</w:t>
            </w:r>
          </w:p>
        </w:tc>
        <w:tc>
          <w:tcPr>
            <w:tcW w:w="689" w:type="pct"/>
            <w:tcBorders>
              <w:top w:val="nil"/>
              <w:left w:val="nil"/>
              <w:bottom w:val="single" w:sz="4"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0.10%</w:t>
            </w:r>
          </w:p>
        </w:tc>
        <w:tc>
          <w:tcPr>
            <w:tcW w:w="585" w:type="pct"/>
            <w:tcBorders>
              <w:top w:val="nil"/>
              <w:left w:val="nil"/>
              <w:bottom w:val="single" w:sz="4"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N/A</w:t>
            </w:r>
          </w:p>
        </w:tc>
        <w:tc>
          <w:tcPr>
            <w:tcW w:w="894" w:type="pct"/>
            <w:tcBorders>
              <w:top w:val="nil"/>
              <w:left w:val="nil"/>
              <w:bottom w:val="single" w:sz="4"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0.30%</w:t>
            </w:r>
          </w:p>
        </w:tc>
        <w:tc>
          <w:tcPr>
            <w:tcW w:w="888" w:type="pct"/>
            <w:tcBorders>
              <w:top w:val="nil"/>
              <w:left w:val="nil"/>
              <w:bottom w:val="single" w:sz="4"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0.10%</w:t>
            </w:r>
          </w:p>
        </w:tc>
        <w:tc>
          <w:tcPr>
            <w:tcW w:w="887" w:type="pct"/>
            <w:tcBorders>
              <w:top w:val="nil"/>
              <w:left w:val="nil"/>
              <w:bottom w:val="single" w:sz="4" w:space="0" w:color="auto"/>
              <w:right w:val="single" w:sz="8"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0.10%</w:t>
            </w:r>
          </w:p>
        </w:tc>
      </w:tr>
      <w:tr w:rsidR="00091B47" w:rsidRPr="00091B47" w:rsidTr="00091B47">
        <w:trPr>
          <w:trHeight w:val="300"/>
        </w:trPr>
        <w:tc>
          <w:tcPr>
            <w:tcW w:w="1057" w:type="pct"/>
            <w:tcBorders>
              <w:top w:val="nil"/>
              <w:left w:val="single" w:sz="8" w:space="0" w:color="auto"/>
              <w:bottom w:val="single" w:sz="4" w:space="0" w:color="auto"/>
              <w:right w:val="single" w:sz="4" w:space="0" w:color="auto"/>
            </w:tcBorders>
            <w:shd w:val="clear" w:color="auto" w:fill="auto"/>
            <w:hideMark/>
          </w:tcPr>
          <w:p w:rsidR="00091B47" w:rsidRPr="00091B47" w:rsidRDefault="00091B47" w:rsidP="00091B47">
            <w:pPr>
              <w:spacing w:after="0" w:line="240" w:lineRule="auto"/>
              <w:rPr>
                <w:rFonts w:ascii="Calibri" w:eastAsia="Times New Roman" w:hAnsi="Calibri" w:cs="Calibri"/>
                <w:b/>
                <w:bCs/>
                <w:color w:val="000000"/>
                <w:lang w:eastAsia="en-GB"/>
              </w:rPr>
            </w:pPr>
            <w:r w:rsidRPr="00091B47">
              <w:rPr>
                <w:rFonts w:ascii="Calibri" w:eastAsia="Times New Roman" w:hAnsi="Calibri" w:cs="Calibri"/>
                <w:b/>
                <w:bCs/>
                <w:color w:val="000000"/>
                <w:lang w:eastAsia="en-GB"/>
              </w:rPr>
              <w:t>Acceptable Bounce Rate</w:t>
            </w:r>
          </w:p>
        </w:tc>
        <w:tc>
          <w:tcPr>
            <w:tcW w:w="689" w:type="pct"/>
            <w:tcBorders>
              <w:top w:val="nil"/>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w:t>
            </w:r>
          </w:p>
        </w:tc>
        <w:tc>
          <w:tcPr>
            <w:tcW w:w="585" w:type="pct"/>
            <w:tcBorders>
              <w:top w:val="nil"/>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w:t>
            </w:r>
          </w:p>
        </w:tc>
        <w:tc>
          <w:tcPr>
            <w:tcW w:w="894" w:type="pct"/>
            <w:tcBorders>
              <w:top w:val="nil"/>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w:t>
            </w:r>
          </w:p>
        </w:tc>
        <w:tc>
          <w:tcPr>
            <w:tcW w:w="888" w:type="pct"/>
            <w:tcBorders>
              <w:top w:val="nil"/>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w:t>
            </w:r>
          </w:p>
        </w:tc>
        <w:tc>
          <w:tcPr>
            <w:tcW w:w="887" w:type="pct"/>
            <w:tcBorders>
              <w:top w:val="nil"/>
              <w:left w:val="nil"/>
              <w:bottom w:val="single" w:sz="4" w:space="0" w:color="auto"/>
              <w:right w:val="single" w:sz="8"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w:t>
            </w:r>
          </w:p>
        </w:tc>
      </w:tr>
      <w:tr w:rsidR="00091B47" w:rsidRPr="00091B47" w:rsidTr="00091B47">
        <w:trPr>
          <w:trHeight w:val="315"/>
        </w:trPr>
        <w:tc>
          <w:tcPr>
            <w:tcW w:w="1057" w:type="pct"/>
            <w:tcBorders>
              <w:top w:val="nil"/>
              <w:left w:val="single" w:sz="8" w:space="0" w:color="auto"/>
              <w:bottom w:val="single" w:sz="8" w:space="0" w:color="auto"/>
              <w:right w:val="single" w:sz="4" w:space="0" w:color="auto"/>
            </w:tcBorders>
            <w:shd w:val="clear" w:color="000000" w:fill="D9D9D9"/>
            <w:hideMark/>
          </w:tcPr>
          <w:p w:rsidR="00091B47" w:rsidRPr="00091B47" w:rsidRDefault="00091B47" w:rsidP="00091B47">
            <w:pPr>
              <w:spacing w:after="0" w:line="240" w:lineRule="auto"/>
              <w:rPr>
                <w:rFonts w:ascii="Calibri" w:eastAsia="Times New Roman" w:hAnsi="Calibri" w:cs="Calibri"/>
                <w:b/>
                <w:bCs/>
                <w:color w:val="000000"/>
                <w:lang w:eastAsia="en-GB"/>
              </w:rPr>
            </w:pPr>
            <w:r w:rsidRPr="00091B47">
              <w:rPr>
                <w:rFonts w:ascii="Calibri" w:eastAsia="Times New Roman" w:hAnsi="Calibri" w:cs="Calibri"/>
                <w:b/>
                <w:bCs/>
                <w:color w:val="000000"/>
                <w:lang w:eastAsia="en-GB"/>
              </w:rPr>
              <w:t>High Bounce Rate</w:t>
            </w:r>
          </w:p>
        </w:tc>
        <w:tc>
          <w:tcPr>
            <w:tcW w:w="689" w:type="pct"/>
            <w:tcBorders>
              <w:top w:val="nil"/>
              <w:left w:val="nil"/>
              <w:bottom w:val="single" w:sz="8"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w:t>
            </w:r>
          </w:p>
        </w:tc>
        <w:tc>
          <w:tcPr>
            <w:tcW w:w="585" w:type="pct"/>
            <w:tcBorders>
              <w:top w:val="nil"/>
              <w:left w:val="nil"/>
              <w:bottom w:val="single" w:sz="8"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w:t>
            </w:r>
          </w:p>
        </w:tc>
        <w:tc>
          <w:tcPr>
            <w:tcW w:w="894" w:type="pct"/>
            <w:tcBorders>
              <w:top w:val="nil"/>
              <w:left w:val="nil"/>
              <w:bottom w:val="single" w:sz="8"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w:t>
            </w:r>
          </w:p>
        </w:tc>
        <w:tc>
          <w:tcPr>
            <w:tcW w:w="888" w:type="pct"/>
            <w:tcBorders>
              <w:top w:val="nil"/>
              <w:left w:val="nil"/>
              <w:bottom w:val="single" w:sz="8"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w:t>
            </w:r>
          </w:p>
        </w:tc>
        <w:tc>
          <w:tcPr>
            <w:tcW w:w="887" w:type="pct"/>
            <w:tcBorders>
              <w:top w:val="nil"/>
              <w:left w:val="nil"/>
              <w:bottom w:val="single" w:sz="8" w:space="0" w:color="auto"/>
              <w:right w:val="single" w:sz="8"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w:t>
            </w:r>
          </w:p>
        </w:tc>
      </w:tr>
    </w:tbl>
    <w:p w:rsidR="00091B47" w:rsidRDefault="00091B47" w:rsidP="00091B47">
      <w:pPr>
        <w:rPr>
          <w:rFonts w:ascii="Arial" w:hAnsi="Arial" w:cs="Arial"/>
        </w:rPr>
      </w:pPr>
    </w:p>
    <w:p w:rsidR="00091B47" w:rsidRDefault="00091B47" w:rsidP="00091B47">
      <w:pPr>
        <w:rPr>
          <w:rFonts w:ascii="Arial" w:hAnsi="Arial" w:cs="Arial"/>
        </w:rPr>
      </w:pPr>
    </w:p>
    <w:p w:rsidR="00091B47" w:rsidRDefault="00091B47" w:rsidP="00091B47">
      <w:pPr>
        <w:rPr>
          <w:rFonts w:ascii="Arial" w:hAnsi="Arial" w:cs="Arial"/>
        </w:rPr>
      </w:pPr>
    </w:p>
    <w:p w:rsidR="00091B47" w:rsidRPr="009B4752" w:rsidRDefault="00091B47" w:rsidP="00091B47">
      <w:pPr>
        <w:rPr>
          <w:rFonts w:ascii="Arial" w:hAnsi="Arial" w:cs="Arial"/>
        </w:rPr>
      </w:pPr>
    </w:p>
    <w:sectPr w:rsidR="00091B47" w:rsidRPr="009B4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7326D"/>
    <w:multiLevelType w:val="hybridMultilevel"/>
    <w:tmpl w:val="7B840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0702BF"/>
    <w:multiLevelType w:val="hybridMultilevel"/>
    <w:tmpl w:val="FAD6A57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52"/>
    <w:rsid w:val="00076A6E"/>
    <w:rsid w:val="00091B47"/>
    <w:rsid w:val="000D4196"/>
    <w:rsid w:val="000D43C6"/>
    <w:rsid w:val="000E1BEF"/>
    <w:rsid w:val="00260607"/>
    <w:rsid w:val="004479D5"/>
    <w:rsid w:val="0053659A"/>
    <w:rsid w:val="0070480F"/>
    <w:rsid w:val="008F3336"/>
    <w:rsid w:val="009B4752"/>
    <w:rsid w:val="00A05D39"/>
    <w:rsid w:val="00B91793"/>
    <w:rsid w:val="00D80406"/>
    <w:rsid w:val="00E3728B"/>
    <w:rsid w:val="00F14E58"/>
    <w:rsid w:val="00F74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4752"/>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4479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79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79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6A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4752"/>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4479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79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79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6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81215">
      <w:bodyDiv w:val="1"/>
      <w:marLeft w:val="0"/>
      <w:marRight w:val="0"/>
      <w:marTop w:val="0"/>
      <w:marBottom w:val="0"/>
      <w:divBdr>
        <w:top w:val="none" w:sz="0" w:space="0" w:color="auto"/>
        <w:left w:val="none" w:sz="0" w:space="0" w:color="auto"/>
        <w:bottom w:val="none" w:sz="0" w:space="0" w:color="auto"/>
        <w:right w:val="none" w:sz="0" w:space="0" w:color="auto"/>
      </w:divBdr>
    </w:div>
    <w:div w:id="19676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rmead</dc:creator>
  <cp:lastModifiedBy>rmead</cp:lastModifiedBy>
  <cp:revision>3</cp:revision>
  <cp:lastPrinted>2012-05-23T11:13:00Z</cp:lastPrinted>
  <dcterms:created xsi:type="dcterms:W3CDTF">2012-05-23T11:53:00Z</dcterms:created>
  <dcterms:modified xsi:type="dcterms:W3CDTF">2012-05-23T12:03:00Z</dcterms:modified>
</cp:coreProperties>
</file>