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802F9" w14:textId="77777777" w:rsidR="00385DE4" w:rsidRDefault="00385DE4"/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152"/>
        <w:gridCol w:w="2442"/>
        <w:gridCol w:w="1330"/>
        <w:gridCol w:w="779"/>
        <w:gridCol w:w="779"/>
        <w:gridCol w:w="1295"/>
        <w:gridCol w:w="1295"/>
      </w:tblGrid>
      <w:tr w:rsidR="00385DE4" w14:paraId="4F12DB9E" w14:textId="77777777" w:rsidTr="009266B8">
        <w:trPr>
          <w:tblHeader/>
          <w:jc w:val="center"/>
        </w:trPr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A6D61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Attribute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EE1D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Levels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B515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Willingness-to-pay (SGD)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B8AA3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Lower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924C82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Upper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8DE10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Incremental service cost (SGD)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EC686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Incremental program cost (SGD)</w:t>
            </w:r>
          </w:p>
        </w:tc>
      </w:tr>
      <w:tr w:rsidR="00385DE4" w14:paraId="372636C6" w14:textId="77777777" w:rsidTr="009266B8">
        <w:trPr>
          <w:jc w:val="center"/>
        </w:trPr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802D8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When screening should be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subsidised</w:t>
            </w:r>
            <w:proofErr w:type="spellEnd"/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5FEB9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For married couples before conception only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EAFC3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9C1DA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EA555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F97F3F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39E22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1DC23969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01B2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E7D1D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For married couples only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42822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27.42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86CF2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-26.68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5061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81.52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7B02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7D44B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-27.42</w:t>
            </w:r>
          </w:p>
        </w:tc>
      </w:tr>
      <w:tr w:rsidR="00385DE4" w14:paraId="76DFF272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4092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B6E93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Any time, including before couples are married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CF9EE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61.46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D067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15.26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EB9F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107.67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0CFF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86CFD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-61.46</w:t>
            </w:r>
          </w:p>
        </w:tc>
      </w:tr>
      <w:tr w:rsidR="00385DE4" w14:paraId="64F0C15D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64F7FA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9EF5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F94F3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21EE6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981142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AD130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811D5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2C6683A7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6F45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How results are received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86D9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Our risk as a couple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13EB4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F721C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9533F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B5EC4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F7EF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3E2CB05A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D560CD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F8F1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One of us tested first, and if we are a carrier, the other is tested for those genes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1072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40.62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8C1393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-6.32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7AEE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87.55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5E2FE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-172.00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60BC82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-212.62</w:t>
            </w:r>
          </w:p>
        </w:tc>
      </w:tr>
      <w:tr w:rsidR="00385DE4" w14:paraId="79A30B29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6408A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96D1C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Our risk both as individuals and as a couple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FAFC3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-18.19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9942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-68.96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A495E6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32.57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175F3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AC7F7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18.19</w:t>
            </w:r>
          </w:p>
        </w:tc>
      </w:tr>
      <w:tr w:rsidR="00385DE4" w14:paraId="51DC5699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02BA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C7F7B1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6208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CAFC71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433844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271E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885A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593D4707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2FA0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Type of conditions screened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EE59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Extremely severe (conditions with shortened lifespan in infancy/childhood or intellectual disability)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9AB4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D17E5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A4FC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3903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-215.00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C03851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19404D9C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DABBF3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1C0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Extremely severe and severe (conditions with shortened lifespan in early adulthood, impaired mobility, or disabling organ impairment)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657F6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114.04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6F1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50.47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42CBD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177.61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04FE8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5D09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-114.04</w:t>
            </w:r>
          </w:p>
        </w:tc>
      </w:tr>
      <w:tr w:rsidR="00385DE4" w14:paraId="1C6F2F01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E0CD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FBCFF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Extremely severe, severe, and moderate (conditions causing visual or hearing impairments and immune deficiency)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B2462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182.4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9EC8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119.78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3F73F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245.01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0FD8F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-14.00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2C3EB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-196.40</w:t>
            </w:r>
          </w:p>
        </w:tc>
      </w:tr>
      <w:tr w:rsidR="00385DE4" w14:paraId="29572D8D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6AED23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84542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All conditions regardless of severity, including conditions with onset later in life such as genetic risks of heart disease or cancer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25E466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432.84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7D45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346.93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5A5C7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518.75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9AC81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2,115.92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A889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1,683.08</w:t>
            </w:r>
          </w:p>
        </w:tc>
      </w:tr>
      <w:tr w:rsidR="00385DE4" w14:paraId="2D5C4667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B3725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F2D6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7DB3A5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6171A6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51A354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F3A5EF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18230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72451530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5A486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Education and counselling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590F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Only written or online informational materials are available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7C10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50D33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E8277A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F7E3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-154.03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DABB02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255FCFA7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4ACDFE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CD775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In-person appointment alone or with my partner are available only if we are both carriers of a disease, with online/written informational materials available before our test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83E4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17.24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2A762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-29.48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0269E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63.97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60A0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A93A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-17.24</w:t>
            </w:r>
          </w:p>
        </w:tc>
      </w:tr>
      <w:tr w:rsidR="00385DE4" w14:paraId="58D973D6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E0CE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23F4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In-person appointments alone or with my partner are available both before and after testing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2719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124.04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BB9B4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75.34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41815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172.75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0C7C9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154.03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4825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29.99</w:t>
            </w:r>
          </w:p>
        </w:tc>
      </w:tr>
      <w:tr w:rsidR="00385DE4" w14:paraId="32BDDFE8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DBAFA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AC151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7189E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183738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B46AC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A2FA8B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7279F8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61B2D8FF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3A5B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Clinician providing the screening service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384C0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Genetic counselling service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A2C8B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BB5B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176342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7A7C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154.03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C5E19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1490DCC9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3B887A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F81FD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General practitioner/polyclinic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5AC6A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27.1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84360F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-19.39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1AB02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73.58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E54FD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154.03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4CC5D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126.93</w:t>
            </w:r>
          </w:p>
        </w:tc>
      </w:tr>
      <w:tr w:rsidR="00385DE4" w14:paraId="18B8420F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72CC0F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B286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Obstetrician/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gynaecologist</w:t>
            </w:r>
            <w:proofErr w:type="spellEnd"/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9BFCD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-6.16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DFE0C8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-50.96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BF332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38.64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1AE2A4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5AE9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246.16</w:t>
            </w:r>
          </w:p>
        </w:tc>
      </w:tr>
      <w:tr w:rsidR="00385DE4" w14:paraId="5AECC710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AF371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EA2684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48885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8625BE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62B22F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A657B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F3E032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1074C26C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D960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Wait times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91E6AE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Up to 16 weeks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B9460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Reference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8807AE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9B9221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41AF63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25A07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85DE4" w14:paraId="51DD48AE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5350B8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4C987C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Up to 8 weeks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828745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92.32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8C1AB6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41.49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E99E3E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143.15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8A08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3BD2E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-92.32</w:t>
            </w:r>
          </w:p>
        </w:tc>
      </w:tr>
      <w:tr w:rsidR="00385DE4" w14:paraId="172B0766" w14:textId="77777777" w:rsidTr="009266B8">
        <w:trPr>
          <w:jc w:val="center"/>
        </w:trPr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3A132E" w14:textId="77777777" w:rsidR="00385DE4" w:rsidRDefault="00385DE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E88A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Up to 4 weeks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CC55D1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152.11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4F7C9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94.66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2B116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209.56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07562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0.00</w:t>
            </w:r>
          </w:p>
        </w:tc>
        <w:tc>
          <w:tcPr>
            <w:tcW w:w="714" w:type="pct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53E2A7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-152.11</w:t>
            </w:r>
          </w:p>
        </w:tc>
      </w:tr>
      <w:tr w:rsidR="00385DE4" w14:paraId="49D53C02" w14:textId="77777777" w:rsidTr="009266B8">
        <w:trPr>
          <w:jc w:val="center"/>
        </w:trPr>
        <w:tc>
          <w:tcPr>
            <w:tcW w:w="5000" w:type="pct"/>
            <w:gridSpan w:val="7"/>
            <w:tcBorders>
              <w:top w:val="single" w:sz="12" w:space="0" w:color="666666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C788BA" w14:textId="77777777" w:rsidR="00385DE4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Note: Reference categories set to 0. All values in 2025 Singapore dollars (SGD)</w:t>
            </w:r>
          </w:p>
        </w:tc>
      </w:tr>
    </w:tbl>
    <w:p w14:paraId="146BFCE9" w14:textId="77777777" w:rsidR="00B85E33" w:rsidRDefault="00B85E33"/>
    <w:sectPr w:rsidR="00B85E33">
      <w:type w:val="continuous"/>
      <w:pgSz w:w="11906" w:h="16838"/>
      <w:pgMar w:top="1417" w:right="1417" w:bottom="1417" w:left="1417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190647">
    <w:abstractNumId w:val="1"/>
  </w:num>
  <w:num w:numId="2" w16cid:durableId="604651253">
    <w:abstractNumId w:val="2"/>
  </w:num>
  <w:num w:numId="3" w16cid:durableId="1555658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DE4"/>
    <w:rsid w:val="00385DE4"/>
    <w:rsid w:val="005619FB"/>
    <w:rsid w:val="009266B8"/>
    <w:rsid w:val="00B8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1C701"/>
  <w15:docId w15:val="{EF68E850-E192-4ACC-B4E5-1385E25C7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318</Words>
  <Characters>1870</Characters>
  <Application>Microsoft Office Word</Application>
  <DocSecurity>0</DocSecurity>
  <Lines>267</Lines>
  <Paragraphs>128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Robin Blythe</cp:lastModifiedBy>
  <cp:revision>11</cp:revision>
  <dcterms:created xsi:type="dcterms:W3CDTF">2017-02-28T11:18:00Z</dcterms:created>
  <dcterms:modified xsi:type="dcterms:W3CDTF">2026-03-26T08:02:00Z</dcterms:modified>
  <cp:category/>
</cp:coreProperties>
</file>