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Willingness-to-pay (SGD)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Incremental service cost (SGD)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Incremental program cost (SGD)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When screening should be subsidised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 married couples before conception 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 married couples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-27.42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time, including before couples are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-61.46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results are 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Our risk as a couple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One of us tested first, and if we are a carrier, the other is tested for those genes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-172.00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-212.62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Our risk both as individuals and as a couple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-18.19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-68.90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Type of conditions screened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Extremely severe (conditions with shortened lifespan in infancy/childhood or intellectual disability)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-215.00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Extremely severe and severe (conditions with shortened lifespan in early adulthood, impaired mobility, or disabling organ impairment)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-114.04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Extremely severe, severe, and moderate (conditions causing visual or hearing impairments and immune deficiency)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-196.40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conditions regardless of severity, including conditions with onset later in life such as genetic risks of heart disease or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518.88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2,115.92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1,683.08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 and counselling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Only written or online informational materials are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-154.03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In-person appointment alone or with my partner are available only if we are both carriers of a disease, with online/written informational materials available before our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-17.24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In-person appointments alone or with my partner are available both before and after 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Clinician providing the screening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Genetic counselling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General practitioner/polyclinic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-19.46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Obstetrician/gynaecologist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246.16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Wait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 to 16 weeks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 to 8 weeks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-92.32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 to 4 weeks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-152.11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Reference categories set to 0. All values in 2025 Singapore dollars (SGD)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2026-03-30T18:20:51Z</dcterms:modified>
  <cp:category/>
</cp:coreProperties>
</file>