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Attribute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Willingness-to-pay (SGD)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Incremental service cost (SGD)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Incremental program cost (SGD)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When screening should be subsidised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For married couples before conception only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For married couples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-27.42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Any time, including before couples are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107.77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-61.46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How results are received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Our risk as a couple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One of us tested first, and if we are a carrier, the other is tested for those genes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-172.00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-212.62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Our risk both as individuals and as a couple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-18.19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-68.96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Type of conditions screened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Extremely severe (conditions with shortened lifespan in infancy/childhood or intellectual disability)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-215.00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Extremely severe and severe (conditions with shortened lifespan in early adulthood, impaired mobility, or disabling organ impairment)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-114.04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Extremely severe, severe, and moderate (conditions causing visual or hearing impairments and immune deficiency)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119.98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-196.40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All conditions regardless of severity, including conditions with onset later in life such as genetic risks of heart disease or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518.41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2,115.92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1,683.08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 and counselling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Only written or online informational materials are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-154.03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In-person appointment alone or with my partner are available only if we are both carriers of a disease, with online/written informational materials available before our 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-17.24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In-person appointments alone or with my partner are available both before and after testing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Clinician providing the screening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Genetic counselling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General practitioner/polyclinic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-19.19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126.93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Obstetrician/gynaecologist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-51.12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246.16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Wait 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Up to 16 weeks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Up to 8 weeks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-92.32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Up to 4 weeks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152.11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209.48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-152.11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Note: Reference categories set to 0. All values in 2025 Singapore dollars (SGD)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2026-03-30T19:24:24Z</dcterms:modified>
  <cp:category/>
</cp:coreProperties>
</file>