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Arial" w:cs="Arial" w:eastAsia="Arial" w:hAnsi="Arial"/>
          <w:b/>
          <w:bCs/>
          <w:color w:val="1F4E79"/>
          <w:sz w:val="36"/>
          <w:szCs w:val="36"/>
        </w:rPr>
        <w:t xml:space="preserve">Business Requirements Document</w:t>
      </w:r>
    </w:p>
    <w:p>
      <w:pPr>
        <w:spacing w:after="80" w:before="0"/>
        <w:jc w:val="center"/>
      </w:pPr>
      <w:r>
        <w:rPr>
          <w:rFonts w:ascii="Arial" w:cs="Arial" w:eastAsia="Arial" w:hAnsi="Arial"/>
          <w:b/>
          <w:bCs/>
          <w:color w:val="2E74B5"/>
          <w:sz w:val="28"/>
          <w:szCs w:val="28"/>
        </w:rPr>
        <w:t xml:space="preserve">Student Information System (SIS) Migration</w:t>
      </w:r>
    </w:p>
    <w:p>
      <w:pPr>
        <w:spacing w:after="400" w:before="0"/>
        <w:jc w:val="center"/>
      </w:pPr>
      <w:r>
        <w:rPr>
          <w:rFonts w:ascii="Arial" w:cs="Arial" w:eastAsia="Arial" w:hAnsi="Arial"/>
          <w:color w:val="595959"/>
          <w:sz w:val="20"/>
          <w:szCs w:val="20"/>
        </w:rPr>
        <w:t xml:space="preserve">Greenfield Unified School District  |  Version 2.1  |  April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51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351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Document Owner</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Office of Information Technology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Systems Analyst lead</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Project Sponsor</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Deputy Superintendent, Academic Affairs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Executive approver</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Status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Approved — In Progress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 of 3</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Last Revised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April 15, 2024</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 2.1</w:t>
            </w:r>
          </w:p>
        </w:tc>
      </w:tr>
    </w:tbl>
    <w:p>
      <w:pPr>
        <w:spacing w:after="0" w:before="320"/>
      </w:pPr>
    </w:p>
    <w:p>
      <w:pPr>
        <w:pStyle w:val="Heading1"/>
        <w:spacing w:after="160" w:before="320"/>
      </w:pPr>
      <w:r>
        <w:rPr>
          <w:rFonts w:ascii="Arial" w:cs="Arial" w:eastAsia="Arial" w:hAnsi="Arial"/>
          <w:b/>
          <w:bCs/>
          <w:color w:val="1F4E79"/>
          <w:sz w:val="28"/>
          <w:szCs w:val="28"/>
        </w:rPr>
        <w:t xml:space="preserve">1. Executive Summary</w:t>
      </w:r>
    </w:p>
    <w:p>
      <w:pPr>
        <w:spacing w:after="80" w:before="80"/>
      </w:pPr>
      <w:r>
        <w:rPr>
          <w:rFonts w:ascii="Arial" w:cs="Arial" w:eastAsia="Arial" w:hAnsi="Arial"/>
          <w:sz w:val="22"/>
          <w:szCs w:val="22"/>
        </w:rPr>
        <w:t xml:space="preserve">Greenfield Unified School District (GUSD) is migrating its legacy Student Information System (SIS) from a third-party hosted platform to a modern, cloud-based enterprise system. This Business Requirements Document (BRD) defines the functional and non-functional requirements that the replacement system must satisfy to support district-wide student enrollment, attendance tracking, grade management, scheduling, and regulatory reporting across 47 campuses and approximately 68,000 enrolled students.</w:t>
      </w:r>
    </w:p>
    <w:p>
      <w:pPr>
        <w:spacing w:after="80" w:before="80"/>
      </w:pPr>
      <w:r>
        <w:rPr>
          <w:rFonts w:ascii="Arial" w:cs="Arial" w:eastAsia="Arial" w:hAnsi="Arial"/>
          <w:sz w:val="22"/>
          <w:szCs w:val="22"/>
        </w:rPr>
        <w:t xml:space="preserve">This document is intended for use by the project implementation team, vendor selection committee, and all departmental stakeholders who contributed requirements during the discovery phase. It serves as the primary reference for system configuration, user acceptance testing (UAT), and go-live validation.</w:t>
      </w:r>
    </w:p>
    <w:p>
      <w:pPr>
        <w:spacing w:after="0" w:before="160"/>
      </w:pPr>
    </w:p>
    <w:p>
      <w:pPr>
        <w:pStyle w:val="Heading1"/>
        <w:spacing w:after="160" w:before="320"/>
      </w:pPr>
      <w:r>
        <w:rPr>
          <w:rFonts w:ascii="Arial" w:cs="Arial" w:eastAsia="Arial" w:hAnsi="Arial"/>
          <w:b/>
          <w:bCs/>
          <w:color w:val="1F4E79"/>
          <w:sz w:val="28"/>
          <w:szCs w:val="28"/>
        </w:rPr>
        <w:t xml:space="preserve">2. Project Background and Business Need</w:t>
      </w:r>
    </w:p>
    <w:p>
      <w:pPr>
        <w:pStyle w:val="Heading2"/>
        <w:spacing w:after="120" w:before="240"/>
      </w:pPr>
      <w:r>
        <w:rPr>
          <w:rFonts w:ascii="Arial" w:cs="Arial" w:eastAsia="Arial" w:hAnsi="Arial"/>
          <w:b/>
          <w:bCs/>
          <w:color w:val="2E74B5"/>
          <w:sz w:val="24"/>
          <w:szCs w:val="24"/>
        </w:rPr>
        <w:t xml:space="preserve">2.1 Current State</w:t>
      </w:r>
    </w:p>
    <w:p>
      <w:pPr>
        <w:spacing w:after="80" w:before="80"/>
      </w:pPr>
      <w:r>
        <w:rPr>
          <w:rFonts w:ascii="Arial" w:cs="Arial" w:eastAsia="Arial" w:hAnsi="Arial"/>
          <w:sz w:val="22"/>
          <w:szCs w:val="22"/>
        </w:rPr>
        <w:t xml:space="preserve">The district’s current SIS was implemented in 2011 and is no longer supported by the original vendor. Key limitations of the current system include:</w:t>
      </w:r>
    </w:p>
    <w:p>
      <w:pPr>
        <w:pStyle w:val="ListParagraph"/>
        <w:numPr>
          <w:ilvl w:val="0"/>
          <w:numId w:val="2"/>
        </w:numPr>
        <w:spacing w:after="60" w:before="60"/>
      </w:pPr>
      <w:r>
        <w:rPr>
          <w:rFonts w:ascii="Arial" w:cs="Arial" w:eastAsia="Arial" w:hAnsi="Arial"/>
          <w:sz w:val="22"/>
          <w:szCs w:val="22"/>
        </w:rPr>
        <w:t xml:space="preserve">Manual data entry required for state and federal compliance reports, increasing processing time by an estimated 40 hours per reporting cycle</w:t>
      </w:r>
    </w:p>
    <w:p>
      <w:pPr>
        <w:pStyle w:val="ListParagraph"/>
        <w:numPr>
          <w:ilvl w:val="0"/>
          <w:numId w:val="2"/>
        </w:numPr>
        <w:spacing w:after="60" w:before="60"/>
      </w:pPr>
      <w:r>
        <w:rPr>
          <w:rFonts w:ascii="Arial" w:cs="Arial" w:eastAsia="Arial" w:hAnsi="Arial"/>
          <w:sz w:val="22"/>
          <w:szCs w:val="22"/>
        </w:rPr>
        <w:t xml:space="preserve">No integration capability with the district’s Human Resources Information System (HRIS) or Finance platform, requiring duplicate data entry across three systems</w:t>
      </w:r>
    </w:p>
    <w:p>
      <w:pPr>
        <w:pStyle w:val="ListParagraph"/>
        <w:numPr>
          <w:ilvl w:val="0"/>
          <w:numId w:val="2"/>
        </w:numPr>
        <w:spacing w:after="60" w:before="60"/>
      </w:pPr>
      <w:r>
        <w:rPr>
          <w:rFonts w:ascii="Arial" w:cs="Arial" w:eastAsia="Arial" w:hAnsi="Arial"/>
          <w:sz w:val="22"/>
          <w:szCs w:val="22"/>
        </w:rPr>
        <w:t xml:space="preserve">Inability to support real-time parent and guardian portal access to student records</w:t>
      </w:r>
    </w:p>
    <w:p>
      <w:pPr>
        <w:pStyle w:val="ListParagraph"/>
        <w:numPr>
          <w:ilvl w:val="0"/>
          <w:numId w:val="2"/>
        </w:numPr>
        <w:spacing w:after="60" w:before="60"/>
      </w:pPr>
      <w:r>
        <w:rPr>
          <w:rFonts w:ascii="Arial" w:cs="Arial" w:eastAsia="Arial" w:hAnsi="Arial"/>
          <w:sz w:val="22"/>
          <w:szCs w:val="22"/>
        </w:rPr>
        <w:t xml:space="preserve">Legacy database architecture that cannot accommodate district growth projections through 2030</w:t>
      </w:r>
    </w:p>
    <w:p>
      <w:pPr>
        <w:pStyle w:val="Heading2"/>
        <w:spacing w:after="120" w:before="240"/>
      </w:pPr>
      <w:r>
        <w:rPr>
          <w:rFonts w:ascii="Arial" w:cs="Arial" w:eastAsia="Arial" w:hAnsi="Arial"/>
          <w:b/>
          <w:bCs/>
          <w:color w:val="2E74B5"/>
          <w:sz w:val="24"/>
          <w:szCs w:val="24"/>
        </w:rPr>
        <w:t xml:space="preserve">2.2 Desired Future State</w:t>
      </w:r>
    </w:p>
    <w:p>
      <w:pPr>
        <w:spacing w:after="80" w:before="80"/>
      </w:pPr>
      <w:r>
        <w:rPr>
          <w:rFonts w:ascii="Arial" w:cs="Arial" w:eastAsia="Arial" w:hAnsi="Arial"/>
          <w:sz w:val="22"/>
          <w:szCs w:val="22"/>
        </w:rPr>
        <w:t xml:space="preserve">The replacement SIS must provide a unified, role-based platform that eliminates redundant data entry, supports automated state reporting, and enables real-time access for campus administrators, teachers, counselors, and families. The system must be fully operational district-wide prior to the start of the 2025–2026 academic year.</w:t>
      </w:r>
    </w:p>
    <w:p>
      <w:pPr>
        <w:spacing w:after="0" w:before="160"/>
      </w:pPr>
    </w:p>
    <w:p>
      <w:pPr>
        <w:pStyle w:val="Heading1"/>
        <w:spacing w:after="160" w:before="320"/>
      </w:pPr>
      <w:r>
        <w:rPr>
          <w:rFonts w:ascii="Arial" w:cs="Arial" w:eastAsia="Arial" w:hAnsi="Arial"/>
          <w:b/>
          <w:bCs/>
          <w:color w:val="1F4E79"/>
          <w:sz w:val="28"/>
          <w:szCs w:val="28"/>
        </w:rPr>
        <w:t xml:space="preserve">3. Stakeholder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Stakeholder Group</w:t>
            </w:r>
          </w:p>
        </w:tc>
        <w:tc>
          <w:tcPr>
            <w:tcW w:type="dxa" w:w="22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 in Project</w:t>
            </w:r>
          </w:p>
        </w:tc>
        <w:tc>
          <w:tcPr>
            <w:tcW w:type="dxa" w:w="42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Primary Interest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Campus Registrars (47)</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 Users / UAT Testers</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Enrollment workflow efficiency; data accuracy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Department of Student Services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Requirements Contributors</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IEP and 504 plan tracking; counselor caseload visibility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State Reporting Coordinator</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Requirements Contributor / Approver</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Automated PEIMS/TSDS submission compliance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IT Security &amp; Infrastructure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Technical Review</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Role-based access control; FERPA compliance; SSO integration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Parent &amp; Guardian Community</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 Users</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access to grades, attendance, and communications</w:t>
            </w:r>
          </w:p>
        </w:tc>
      </w:tr>
    </w:tbl>
    <w:p>
      <w:pPr>
        <w:spacing w:after="0" w:before="320"/>
      </w:pPr>
    </w:p>
    <w:p>
      <w:pPr>
        <w:pStyle w:val="Heading1"/>
        <w:spacing w:after="160" w:before="320"/>
      </w:pPr>
      <w:r>
        <w:rPr>
          <w:rFonts w:ascii="Arial" w:cs="Arial" w:eastAsia="Arial" w:hAnsi="Arial"/>
          <w:b/>
          <w:bCs/>
          <w:color w:val="1F4E79"/>
          <w:sz w:val="28"/>
          <w:szCs w:val="28"/>
        </w:rPr>
        <w:t xml:space="preserve">4. Functional Requirements</w:t>
      </w:r>
    </w:p>
    <w:p>
      <w:pPr>
        <w:pStyle w:val="Heading2"/>
        <w:spacing w:after="120" w:before="240"/>
      </w:pPr>
      <w:r>
        <w:rPr>
          <w:rFonts w:ascii="Arial" w:cs="Arial" w:eastAsia="Arial" w:hAnsi="Arial"/>
          <w:b/>
          <w:bCs/>
          <w:color w:val="2E74B5"/>
          <w:sz w:val="24"/>
          <w:szCs w:val="24"/>
        </w:rPr>
        <w:t xml:space="preserve">4.1 Student Enrollment and Registration</w:t>
      </w:r>
    </w:p>
    <w:p>
      <w:pPr>
        <w:spacing w:after="80" w:before="80"/>
      </w:pPr>
      <w:r>
        <w:rPr>
          <w:rFonts w:ascii="Arial" w:cs="Arial" w:eastAsia="Arial" w:hAnsi="Arial"/>
          <w:sz w:val="22"/>
          <w:szCs w:val="22"/>
        </w:rPr>
        <w:t xml:space="preserve">The system must support the following enrollment and registration capabilities:</w:t>
      </w:r>
    </w:p>
    <w:p>
      <w:pPr>
        <w:pStyle w:val="ListParagraph"/>
        <w:numPr>
          <w:ilvl w:val="0"/>
          <w:numId w:val="2"/>
        </w:numPr>
        <w:spacing w:after="60" w:before="60"/>
      </w:pPr>
      <w:r>
        <w:rPr>
          <w:rFonts w:ascii="Arial" w:cs="Arial" w:eastAsia="Arial" w:hAnsi="Arial"/>
          <w:sz w:val="22"/>
          <w:szCs w:val="22"/>
        </w:rPr>
        <w:t xml:space="preserve">Online enrollment portal accessible via web browser and mobile device, supporting document upload for proof of residence, immunization records, and custody documentation</w:t>
      </w:r>
    </w:p>
    <w:p>
      <w:pPr>
        <w:pStyle w:val="ListParagraph"/>
        <w:numPr>
          <w:ilvl w:val="0"/>
          <w:numId w:val="2"/>
        </w:numPr>
        <w:spacing w:after="60" w:before="60"/>
      </w:pPr>
      <w:r>
        <w:rPr>
          <w:rFonts w:ascii="Arial" w:cs="Arial" w:eastAsia="Arial" w:hAnsi="Arial"/>
          <w:sz w:val="22"/>
          <w:szCs w:val="22"/>
        </w:rPr>
        <w:t xml:space="preserve">Automated duplicate record detection using student name, date of birth, and state-assigned student identifier</w:t>
      </w:r>
    </w:p>
    <w:p>
      <w:pPr>
        <w:pStyle w:val="ListParagraph"/>
        <w:numPr>
          <w:ilvl w:val="0"/>
          <w:numId w:val="2"/>
        </w:numPr>
        <w:spacing w:after="60" w:before="60"/>
      </w:pPr>
      <w:r>
        <w:rPr>
          <w:rFonts w:ascii="Arial" w:cs="Arial" w:eastAsia="Arial" w:hAnsi="Arial"/>
          <w:sz w:val="22"/>
          <w:szCs w:val="22"/>
        </w:rPr>
        <w:t xml:space="preserve">Configurable enrollment workflows by campus type (elementary, middle, high school) with role-based approval routing</w:t>
      </w:r>
    </w:p>
    <w:p>
      <w:pPr>
        <w:pStyle w:val="ListParagraph"/>
        <w:numPr>
          <w:ilvl w:val="0"/>
          <w:numId w:val="2"/>
        </w:numPr>
        <w:spacing w:after="60" w:before="60"/>
      </w:pPr>
      <w:r>
        <w:rPr>
          <w:rFonts w:ascii="Arial" w:cs="Arial" w:eastAsia="Arial" w:hAnsi="Arial"/>
          <w:sz w:val="22"/>
          <w:szCs w:val="22"/>
        </w:rPr>
        <w:t xml:space="preserve">Waitlist management with automated notification to families when enrollment capacity becomes available</w:t>
      </w:r>
    </w:p>
    <w:p>
      <w:pPr>
        <w:pStyle w:val="ListParagraph"/>
        <w:numPr>
          <w:ilvl w:val="0"/>
          <w:numId w:val="2"/>
        </w:numPr>
        <w:spacing w:after="60" w:before="60"/>
      </w:pPr>
      <w:r>
        <w:rPr>
          <w:rFonts w:ascii="Arial" w:cs="Arial" w:eastAsia="Arial" w:hAnsi="Arial"/>
          <w:sz w:val="22"/>
          <w:szCs w:val="22"/>
        </w:rPr>
        <w:t xml:space="preserve">Retroactive enrollment correction with audit trail capturing user ID, timestamp, and original field value</w:t>
      </w:r>
    </w:p>
    <w:p>
      <w:pPr>
        <w:pStyle w:val="Heading2"/>
        <w:spacing w:after="120" w:before="240"/>
      </w:pPr>
      <w:r>
        <w:rPr>
          <w:rFonts w:ascii="Arial" w:cs="Arial" w:eastAsia="Arial" w:hAnsi="Arial"/>
          <w:b/>
          <w:bCs/>
          <w:color w:val="2E74B5"/>
          <w:sz w:val="24"/>
          <w:szCs w:val="24"/>
        </w:rPr>
        <w:t xml:space="preserve">4.2 Attendance Tracking</w:t>
      </w:r>
    </w:p>
    <w:p>
      <w:pPr>
        <w:spacing w:after="80" w:before="80"/>
      </w:pPr>
      <w:r>
        <w:rPr>
          <w:rFonts w:ascii="Arial" w:cs="Arial" w:eastAsia="Arial" w:hAnsi="Arial"/>
          <w:sz w:val="22"/>
          <w:szCs w:val="22"/>
        </w:rPr>
        <w:t xml:space="preserve">The system must support the following attendance tracking capabilities:</w:t>
      </w:r>
    </w:p>
    <w:p>
      <w:pPr>
        <w:pStyle w:val="ListParagraph"/>
        <w:numPr>
          <w:ilvl w:val="0"/>
          <w:numId w:val="2"/>
        </w:numPr>
        <w:spacing w:after="60" w:before="60"/>
      </w:pPr>
      <w:r>
        <w:rPr>
          <w:rFonts w:ascii="Arial" w:cs="Arial" w:eastAsia="Arial" w:hAnsi="Arial"/>
          <w:sz w:val="22"/>
          <w:szCs w:val="22"/>
        </w:rPr>
        <w:t xml:space="preserve">Period-by-period and daily attendance entry for all grade levels, with mobile entry capability for classroom teachers</w:t>
      </w:r>
    </w:p>
    <w:p>
      <w:pPr>
        <w:pStyle w:val="ListParagraph"/>
        <w:numPr>
          <w:ilvl w:val="0"/>
          <w:numId w:val="2"/>
        </w:numPr>
        <w:spacing w:after="60" w:before="60"/>
      </w:pPr>
      <w:r>
        <w:rPr>
          <w:rFonts w:ascii="Arial" w:cs="Arial" w:eastAsia="Arial" w:hAnsi="Arial"/>
          <w:sz w:val="22"/>
          <w:szCs w:val="22"/>
        </w:rPr>
        <w:t xml:space="preserve">Automated parent and guardian notification via email and SMS for unexcused absences within 30 minutes of period close</w:t>
      </w:r>
    </w:p>
    <w:p>
      <w:pPr>
        <w:pStyle w:val="ListParagraph"/>
        <w:numPr>
          <w:ilvl w:val="0"/>
          <w:numId w:val="2"/>
        </w:numPr>
        <w:spacing w:after="60" w:before="60"/>
      </w:pPr>
      <w:r>
        <w:rPr>
          <w:rFonts w:ascii="Arial" w:cs="Arial" w:eastAsia="Arial" w:hAnsi="Arial"/>
          <w:sz w:val="22"/>
          <w:szCs w:val="22"/>
        </w:rPr>
        <w:t xml:space="preserve">Chronic absenteeism dashboard for campus administrators and district coordinators, configurable by threshold (10%, 15%, 20% of instructional days)</w:t>
      </w:r>
    </w:p>
    <w:p>
      <w:pPr>
        <w:pStyle w:val="ListParagraph"/>
        <w:numPr>
          <w:ilvl w:val="0"/>
          <w:numId w:val="2"/>
        </w:numPr>
        <w:spacing w:after="60" w:before="60"/>
      </w:pPr>
      <w:r>
        <w:rPr>
          <w:rFonts w:ascii="Arial" w:cs="Arial" w:eastAsia="Arial" w:hAnsi="Arial"/>
          <w:sz w:val="22"/>
          <w:szCs w:val="22"/>
        </w:rPr>
        <w:t xml:space="preserve">Attendance data retention for a minimum of seven years in compliance with state records management requirements</w:t>
      </w:r>
    </w:p>
    <w:p>
      <w:pPr>
        <w:pStyle w:val="Heading2"/>
        <w:spacing w:after="120" w:before="240"/>
      </w:pPr>
      <w:r>
        <w:rPr>
          <w:rFonts w:ascii="Arial" w:cs="Arial" w:eastAsia="Arial" w:hAnsi="Arial"/>
          <w:b/>
          <w:bCs/>
          <w:color w:val="2E74B5"/>
          <w:sz w:val="24"/>
          <w:szCs w:val="24"/>
        </w:rPr>
        <w:t xml:space="preserve">4.3 Grades and Transcripts</w:t>
      </w:r>
    </w:p>
    <w:p>
      <w:pPr>
        <w:spacing w:after="80" w:before="80"/>
      </w:pPr>
      <w:r>
        <w:rPr>
          <w:rFonts w:ascii="Arial" w:cs="Arial" w:eastAsia="Arial" w:hAnsi="Arial"/>
          <w:sz w:val="22"/>
          <w:szCs w:val="22"/>
        </w:rPr>
        <w:t xml:space="preserve">The system must support the following grade management and transcript capabilities:</w:t>
      </w:r>
    </w:p>
    <w:p>
      <w:pPr>
        <w:pStyle w:val="ListParagraph"/>
        <w:numPr>
          <w:ilvl w:val="0"/>
          <w:numId w:val="2"/>
        </w:numPr>
        <w:spacing w:after="60" w:before="60"/>
      </w:pPr>
      <w:r>
        <w:rPr>
          <w:rFonts w:ascii="Arial" w:cs="Arial" w:eastAsia="Arial" w:hAnsi="Arial"/>
          <w:sz w:val="22"/>
          <w:szCs w:val="22"/>
        </w:rPr>
        <w:t xml:space="preserve">Grade entry by grading period with configurable weighting by course type (regular, Pre-AP, Advanced Placement, dual credit)</w:t>
      </w:r>
    </w:p>
    <w:p>
      <w:pPr>
        <w:pStyle w:val="ListParagraph"/>
        <w:numPr>
          <w:ilvl w:val="0"/>
          <w:numId w:val="2"/>
        </w:numPr>
        <w:spacing w:after="60" w:before="60"/>
      </w:pPr>
      <w:r>
        <w:rPr>
          <w:rFonts w:ascii="Arial" w:cs="Arial" w:eastAsia="Arial" w:hAnsi="Arial"/>
          <w:sz w:val="22"/>
          <w:szCs w:val="22"/>
        </w:rPr>
        <w:t xml:space="preserve">Automated GPA calculation (weighted and unweighted) updated upon grade submission</w:t>
      </w:r>
    </w:p>
    <w:p>
      <w:pPr>
        <w:pStyle w:val="ListParagraph"/>
        <w:numPr>
          <w:ilvl w:val="0"/>
          <w:numId w:val="2"/>
        </w:numPr>
        <w:spacing w:after="60" w:before="60"/>
      </w:pPr>
      <w:r>
        <w:rPr>
          <w:rFonts w:ascii="Arial" w:cs="Arial" w:eastAsia="Arial" w:hAnsi="Arial"/>
          <w:sz w:val="22"/>
          <w:szCs w:val="22"/>
        </w:rPr>
        <w:t xml:space="preserve">Official transcript generation in PDF format with digital signature capability for post-secondary submission</w:t>
      </w:r>
    </w:p>
    <w:p>
      <w:pPr>
        <w:pStyle w:val="ListParagraph"/>
        <w:numPr>
          <w:ilvl w:val="0"/>
          <w:numId w:val="2"/>
        </w:numPr>
        <w:spacing w:after="60" w:before="60"/>
      </w:pPr>
      <w:r>
        <w:rPr>
          <w:rFonts w:ascii="Arial" w:cs="Arial" w:eastAsia="Arial" w:hAnsi="Arial"/>
          <w:sz w:val="22"/>
          <w:szCs w:val="22"/>
        </w:rPr>
        <w:t xml:space="preserve">Credit recovery and grade replacement tracking with notation on official transcript per district policy</w:t>
      </w:r>
    </w:p>
    <w:p>
      <w:pPr>
        <w:spacing w:after="0" w:before="160"/>
      </w:pPr>
    </w:p>
    <w:p>
      <w:pPr>
        <w:pStyle w:val="Heading1"/>
        <w:spacing w:after="160" w:before="320"/>
      </w:pPr>
      <w:r>
        <w:rPr>
          <w:rFonts w:ascii="Arial" w:cs="Arial" w:eastAsia="Arial" w:hAnsi="Arial"/>
          <w:b/>
          <w:bCs/>
          <w:color w:val="1F4E79"/>
          <w:sz w:val="28"/>
          <w:szCs w:val="28"/>
        </w:rPr>
        <w:t xml:space="preserve">5. Out of Scope</w:t>
      </w:r>
    </w:p>
    <w:p>
      <w:pPr>
        <w:spacing w:after="80" w:before="80"/>
      </w:pPr>
      <w:r>
        <w:rPr>
          <w:rFonts w:ascii="Arial" w:cs="Arial" w:eastAsia="Arial" w:hAnsi="Arial"/>
          <w:sz w:val="22"/>
          <w:szCs w:val="22"/>
        </w:rPr>
        <w:t xml:space="preserve">The following items are explicitly excluded from this project and will not be addressed during the current implementation phase:</w:t>
      </w:r>
    </w:p>
    <w:p>
      <w:pPr>
        <w:pStyle w:val="ListParagraph"/>
        <w:numPr>
          <w:ilvl w:val="0"/>
          <w:numId w:val="2"/>
        </w:numPr>
        <w:spacing w:after="60" w:before="60"/>
      </w:pPr>
      <w:r>
        <w:rPr>
          <w:rFonts w:ascii="Arial" w:cs="Arial" w:eastAsia="Arial" w:hAnsi="Arial"/>
          <w:sz w:val="22"/>
          <w:szCs w:val="22"/>
        </w:rPr>
        <w:t xml:space="preserve">Replacement or reconfiguration of the district’s Human Resources Information System (HRIS) or Finance platform — integration points are in scope, but modifications to those systems are not</w:t>
      </w:r>
    </w:p>
    <w:p>
      <w:pPr>
        <w:pStyle w:val="ListParagraph"/>
        <w:numPr>
          <w:ilvl w:val="0"/>
          <w:numId w:val="2"/>
        </w:numPr>
        <w:spacing w:after="60" w:before="60"/>
      </w:pPr>
      <w:r>
        <w:rPr>
          <w:rFonts w:ascii="Arial" w:cs="Arial" w:eastAsia="Arial" w:hAnsi="Arial"/>
          <w:sz w:val="22"/>
          <w:szCs w:val="22"/>
        </w:rPr>
        <w:t xml:space="preserve">Development of a new Learning Management System (LMS) or integration with existing LMS platforms beyond single sign-on (SSO) authentication</w:t>
      </w:r>
    </w:p>
    <w:p>
      <w:pPr>
        <w:pStyle w:val="ListParagraph"/>
        <w:numPr>
          <w:ilvl w:val="0"/>
          <w:numId w:val="2"/>
        </w:numPr>
        <w:spacing w:after="60" w:before="60"/>
      </w:pPr>
      <w:r>
        <w:rPr>
          <w:rFonts w:ascii="Arial" w:cs="Arial" w:eastAsia="Arial" w:hAnsi="Arial"/>
          <w:sz w:val="22"/>
          <w:szCs w:val="22"/>
        </w:rPr>
        <w:t xml:space="preserve">Curriculum management, lesson planning tools, or instructional content repositories</w:t>
      </w:r>
    </w:p>
    <w:p>
      <w:pPr>
        <w:pStyle w:val="ListParagraph"/>
        <w:numPr>
          <w:ilvl w:val="0"/>
          <w:numId w:val="2"/>
        </w:numPr>
        <w:spacing w:after="60" w:before="60"/>
      </w:pPr>
      <w:r>
        <w:rPr>
          <w:rFonts w:ascii="Arial" w:cs="Arial" w:eastAsia="Arial" w:hAnsi="Arial"/>
          <w:sz w:val="22"/>
          <w:szCs w:val="22"/>
        </w:rPr>
        <w:t xml:space="preserve">Migration of records predating the 2011 legacy system implementation — pre-2011 archived records will remain in their current storage format</w:t>
      </w:r>
    </w:p>
    <w:p>
      <w:pPr>
        <w:pStyle w:val="ListParagraph"/>
        <w:numPr>
          <w:ilvl w:val="0"/>
          <w:numId w:val="2"/>
        </w:numPr>
        <w:spacing w:after="60" w:before="60"/>
      </w:pPr>
      <w:r>
        <w:rPr>
          <w:rFonts w:ascii="Arial" w:cs="Arial" w:eastAsia="Arial" w:hAnsi="Arial"/>
          <w:sz w:val="22"/>
          <w:szCs w:val="22"/>
        </w:rPr>
        <w:t xml:space="preserve">Custom mobile application development — the replacement SIS must provide a responsive web interface that functions on mobile devices, but a native app is not required</w:t>
      </w:r>
    </w:p>
    <w:p>
      <w:pPr>
        <w:pStyle w:val="ListParagraph"/>
        <w:numPr>
          <w:ilvl w:val="0"/>
          <w:numId w:val="2"/>
        </w:numPr>
        <w:spacing w:after="60" w:before="60"/>
      </w:pPr>
      <w:r>
        <w:rPr>
          <w:rFonts w:ascii="Arial" w:cs="Arial" w:eastAsia="Arial" w:hAnsi="Arial"/>
          <w:sz w:val="22"/>
          <w:szCs w:val="22"/>
        </w:rPr>
        <w:t xml:space="preserve">Staff performance evaluation or human resources case management functionality</w:t>
      </w:r>
    </w:p>
    <w:p>
      <w:pPr>
        <w:spacing w:after="0" w:before="160"/>
      </w:pPr>
    </w:p>
    <w:p>
      <w:pPr>
        <w:pStyle w:val="Heading1"/>
        <w:spacing w:after="160" w:before="320"/>
      </w:pPr>
      <w:r>
        <w:rPr>
          <w:rFonts w:ascii="Arial" w:cs="Arial" w:eastAsia="Arial" w:hAnsi="Arial"/>
          <w:b/>
          <w:bCs/>
          <w:color w:val="1F4E79"/>
          <w:sz w:val="28"/>
          <w:szCs w:val="28"/>
        </w:rPr>
        <w:t xml:space="preserve">6.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response time must not exceed 3 seconds for standard transactions under peak load (first day of school enrollment)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Availability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99.9% uptime during instructional hours (7:00 AM – 5:00 PM local time, Monday–Friday)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Security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Role-based access control (RBAC) aligned with FERPA; multi-factor authentication (MFA) required for administrative roles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Interoperability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integration with district HRIS (Oracle HCM) and Finance system (Tyler Munis) using REST/JSON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Accessibility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Content Accessibility Guidelines (WCAG) 2.1 Level AA compliance for all public-facing portals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Data Migration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historical migration of student records dating to 2011 with validation report confirming 100% record count reconciliation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r>
    </w:tbl>
    <w:p>
      <w:pPr>
        <w:spacing w:after="0" w:before="320"/>
      </w:pPr>
    </w:p>
    <w:p>
      <w:pPr>
        <w:pStyle w:val="Heading1"/>
        <w:spacing w:after="160" w:before="320"/>
      </w:pPr>
      <w:r>
        <w:rPr>
          <w:rFonts w:ascii="Arial" w:cs="Arial" w:eastAsia="Arial" w:hAnsi="Arial"/>
          <w:b/>
          <w:bCs/>
          <w:color w:val="1F4E79"/>
          <w:sz w:val="28"/>
          <w:szCs w:val="28"/>
        </w:rPr>
        <w:t xml:space="preserve">7. Assumptions and Constraints</w:t>
      </w:r>
    </w:p>
    <w:p>
      <w:pPr>
        <w:pStyle w:val="Heading2"/>
        <w:spacing w:after="120" w:before="240"/>
      </w:pPr>
      <w:r>
        <w:rPr>
          <w:rFonts w:ascii="Arial" w:cs="Arial" w:eastAsia="Arial" w:hAnsi="Arial"/>
          <w:b/>
          <w:bCs/>
          <w:color w:val="2E74B5"/>
          <w:sz w:val="24"/>
          <w:szCs w:val="24"/>
        </w:rPr>
        <w:t xml:space="preserve">6.1 Assumptions</w:t>
      </w:r>
    </w:p>
    <w:p>
      <w:pPr>
        <w:pStyle w:val="ListParagraph"/>
        <w:numPr>
          <w:ilvl w:val="0"/>
          <w:numId w:val="2"/>
        </w:numPr>
        <w:spacing w:after="60" w:before="60"/>
      </w:pPr>
      <w:r>
        <w:rPr>
          <w:rFonts w:ascii="Arial" w:cs="Arial" w:eastAsia="Arial" w:hAnsi="Arial"/>
          <w:sz w:val="22"/>
          <w:szCs w:val="22"/>
        </w:rPr>
        <w:t xml:space="preserve">All campus registrars will complete a minimum of eight hours of system training prior to go-live</w:t>
      </w:r>
    </w:p>
    <w:p>
      <w:pPr>
        <w:pStyle w:val="ListParagraph"/>
        <w:numPr>
          <w:ilvl w:val="0"/>
          <w:numId w:val="2"/>
        </w:numPr>
        <w:spacing w:after="60" w:before="60"/>
      </w:pPr>
      <w:r>
        <w:rPr>
          <w:rFonts w:ascii="Arial" w:cs="Arial" w:eastAsia="Arial" w:hAnsi="Arial"/>
          <w:sz w:val="22"/>
          <w:szCs w:val="22"/>
        </w:rPr>
        <w:t xml:space="preserve">The district will provide a dedicated project manager to coordinate vendor activities and internal stakeholder reviews</w:t>
      </w:r>
    </w:p>
    <w:p>
      <w:pPr>
        <w:pStyle w:val="ListParagraph"/>
        <w:numPr>
          <w:ilvl w:val="0"/>
          <w:numId w:val="2"/>
        </w:numPr>
        <w:spacing w:after="60" w:before="60"/>
      </w:pPr>
      <w:r>
        <w:rPr>
          <w:rFonts w:ascii="Arial" w:cs="Arial" w:eastAsia="Arial" w:hAnsi="Arial"/>
          <w:sz w:val="22"/>
          <w:szCs w:val="22"/>
        </w:rPr>
        <w:t xml:space="preserve">Legacy system will remain accessible in read-only mode for 12 months post-migration to support records lookup during transition</w:t>
      </w:r>
    </w:p>
    <w:p>
      <w:pPr>
        <w:pStyle w:val="Heading2"/>
        <w:spacing w:after="120" w:before="240"/>
      </w:pPr>
      <w:r>
        <w:rPr>
          <w:rFonts w:ascii="Arial" w:cs="Arial" w:eastAsia="Arial" w:hAnsi="Arial"/>
          <w:b/>
          <w:bCs/>
          <w:color w:val="2E74B5"/>
          <w:sz w:val="24"/>
          <w:szCs w:val="24"/>
        </w:rPr>
        <w:t xml:space="preserve">6.2 Constraints</w:t>
      </w:r>
    </w:p>
    <w:p>
      <w:pPr>
        <w:pStyle w:val="ListParagraph"/>
        <w:numPr>
          <w:ilvl w:val="0"/>
          <w:numId w:val="2"/>
        </w:numPr>
        <w:spacing w:after="60" w:before="60"/>
      </w:pPr>
      <w:r>
        <w:rPr>
          <w:rFonts w:ascii="Arial" w:cs="Arial" w:eastAsia="Arial" w:hAnsi="Arial"/>
          <w:sz w:val="22"/>
          <w:szCs w:val="22"/>
        </w:rPr>
        <w:t xml:space="preserve">Implementation budget is fixed at $2.4 million, inclusive of licensing, configuration, data migration, and training</w:t>
      </w:r>
    </w:p>
    <w:p>
      <w:pPr>
        <w:pStyle w:val="ListParagraph"/>
        <w:numPr>
          <w:ilvl w:val="0"/>
          <w:numId w:val="2"/>
        </w:numPr>
        <w:spacing w:after="60" w:before="60"/>
      </w:pPr>
      <w:r>
        <w:rPr>
          <w:rFonts w:ascii="Arial" w:cs="Arial" w:eastAsia="Arial" w:hAnsi="Arial"/>
          <w:sz w:val="22"/>
          <w:szCs w:val="22"/>
        </w:rPr>
        <w:t xml:space="preserve">Go-live date is fixed at July 31, 2025, to allow for summer testing before the 2025–2026 school year begins</w:t>
      </w:r>
    </w:p>
    <w:p>
      <w:pPr>
        <w:pStyle w:val="ListParagraph"/>
        <w:numPr>
          <w:ilvl w:val="0"/>
          <w:numId w:val="2"/>
        </w:numPr>
        <w:spacing w:after="60" w:before="60"/>
      </w:pPr>
      <w:r>
        <w:rPr>
          <w:rFonts w:ascii="Arial" w:cs="Arial" w:eastAsia="Arial" w:hAnsi="Arial"/>
          <w:sz w:val="22"/>
          <w:szCs w:val="22"/>
        </w:rPr>
        <w:t xml:space="preserve">District IT department cannot support on-premises server infrastructure; cloud-hosted SaaS deployment is required</w:t>
      </w:r>
    </w:p>
    <w:p>
      <w:pPr>
        <w:spacing w:after="0" w:before="160"/>
      </w:pPr>
    </w:p>
    <w:p>
      <w:pPr>
        <w:pStyle w:val="Heading1"/>
        <w:spacing w:after="160" w:before="320"/>
      </w:pPr>
      <w:r>
        <w:rPr>
          <w:rFonts w:ascii="Arial" w:cs="Arial" w:eastAsia="Arial" w:hAnsi="Arial"/>
          <w:b/>
          <w:bCs/>
          <w:color w:val="1F4E79"/>
          <w:sz w:val="28"/>
          <w:szCs w:val="28"/>
        </w:rPr>
        <w:t xml:space="preserve">8. Approval and Sign-Off</w:t>
      </w:r>
    </w:p>
    <w:p>
      <w:pPr>
        <w:spacing w:after="80" w:before="80"/>
      </w:pPr>
      <w:r>
        <w:rPr>
          <w:rFonts w:ascii="Arial" w:cs="Arial" w:eastAsia="Arial" w:hAnsi="Arial"/>
          <w:sz w:val="22"/>
          <w:szCs w:val="22"/>
        </w:rPr>
        <w:t xml:space="preserve">This document requires approval from all stakeholder representatives listed below before requirements are submitted to the vendor for system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 / Title</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Deputy Superintendent, Academic Affairs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Director, Office of Information Technology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State Reporting Coordinator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Business Systems Analyst (Document Author)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0" w:before="320"/>
      </w:pPr>
    </w:p>
    <w:p>
      <w:pPr>
        <w:spacing w:after="80" w:before="80"/>
      </w:pPr>
      <w:r>
        <w:rPr>
          <w:rFonts w:ascii="Arial" w:cs="Arial" w:eastAsia="Arial" w:hAnsi="Arial"/>
          <w:color w:val="595959"/>
          <w:sz w:val="22"/>
          <w:szCs w:val="22"/>
        </w:rPr>
        <w:t xml:space="preserve">Document prepared by: Senior Technical Writer and Business Systems Analyst</w:t>
      </w:r>
    </w:p>
    <w:p>
      <w:pPr>
        <w:spacing w:after="80" w:before="80"/>
      </w:pPr>
      <w:r>
        <w:rPr>
          <w:rFonts w:ascii="Arial" w:cs="Arial" w:eastAsia="Arial" w:hAnsi="Arial"/>
          <w:color w:val="595959"/>
          <w:sz w:val="18"/>
          <w:szCs w:val="18"/>
        </w:rPr>
        <w:t xml:space="preserve">This sample document is fictionalized for portfolio demonstration purposes. All organization names, figures, and data are illustrative.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1"/>
      </w:pBdr>
      <w:tabs>
        <w:tab w:val="right" w:pos="9026"/>
      </w:tabs>
      <w:spacing w:before="120"/>
    </w:pPr>
    <w:r>
      <w:rPr>
        <w:rFonts w:ascii="Arial" w:cs="Arial" w:eastAsia="Arial" w:hAnsi="Arial"/>
        <w:color w:val="595959"/>
        <w:sz w:val="18"/>
        <w:szCs w:val="18"/>
      </w:rPr>
      <w:t xml:space="preserve">CONFIDENTIAL  —  For Internal Use Only</w:t>
    </w:r>
    <w:r>
      <w:rPr>
        <w:rFonts w:ascii="Arial" w:cs="Arial" w:eastAsia="Arial" w:hAnsi="Arial"/>
        <w:color w:val="595959"/>
        <w:sz w:val="18"/>
        <w:szCs w:val="18"/>
      </w:rPr>
      <w:t xml:space="preserve">	Greenfield Unified School District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spacing w:after="120"/>
    </w:pPr>
    <w:r>
      <w:rPr>
        <w:rFonts w:ascii="Arial" w:cs="Arial" w:eastAsia="Arial" w:hAnsi="Arial"/>
        <w:color w:val="595959"/>
        <w:sz w:val="18"/>
        <w:szCs w:val="18"/>
      </w:rPr>
      <w:t xml:space="preserve">Business Requirements Document  |  Student Information System Migration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2026-04-15T13:40:06.754Z</dcterms:created>
  <dcterms:modified xsi:type="dcterms:W3CDTF">2026-04-15T13:40:06.755Z</dcterms:modified>
</cp:coreProperties>
</file>

<file path=docProps/custom.xml><?xml version="1.0" encoding="utf-8"?>
<Properties xmlns="http://schemas.openxmlformats.org/officeDocument/2006/custom-properties" xmlns:vt="http://schemas.openxmlformats.org/officeDocument/2006/docPropsVTypes"/>
</file>