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3864"/>
          <w:sz w:val="48"/>
          <w:szCs w:val="48"/>
        </w:rPr>
        <w:t xml:space="preserve">WRITING SAMPLES</w:t>
      </w:r>
    </w:p>
    <w:p>
      <w:pPr>
        <w:spacing w:before="0" w:after="80"/>
        <w:jc w:val="center"/>
      </w:pPr>
      <w:r>
        <w:rPr>
          <w:rFonts w:ascii="Arial" w:cs="Arial" w:eastAsia="Arial" w:hAnsi="Arial"/>
          <w:color w:val="595959"/>
          <w:sz w:val="24"/>
          <w:szCs w:val="24"/>
        </w:rPr>
        <w:t xml:space="preserve">Robin Renee Karim  |  Senior Technical Writer</w:t>
      </w:r>
    </w:p>
    <w:p>
      <w:pPr>
        <w:spacing w:before="0" w:after="400"/>
        <w:jc w:val="center"/>
      </w:pPr>
      <w:r>
        <w:rPr>
          <w:rFonts w:ascii="Arial" w:cs="Arial" w:eastAsia="Arial" w:hAnsi="Arial"/>
          <w:color w:val="595959"/>
          <w:sz w:val="20"/>
          <w:szCs w:val="20"/>
        </w:rPr>
        <w:t xml:space="preserve">robinrkarim@yahoo.com  |  281-788-2146  |  linkedin.com/in/robinkarim</w:t>
      </w:r>
    </w:p>
    <w:p>
      <w:pPr>
        <w:pBdr>
          <w:bottom w:val="single" w:color="CCCCCC" w:sz="4" w:space="1"/>
        </w:pBdr>
        <w:spacing w:before="0" w:after="120"/>
        <w:jc w:val="center"/>
      </w:pPr>
    </w:p>
    <w:p>
      <w:pPr>
        <w:spacing w:before="200" w:after="0"/>
      </w:pPr>
    </w:p>
    <w:p>
      <w:pPr>
        <w:spacing w:before="0" w:after="80"/>
      </w:pPr>
      <w:r>
        <w:rPr>
          <w:rFonts w:ascii="Arial" w:cs="Arial" w:eastAsia="Arial" w:hAnsi="Arial"/>
          <w:b/>
          <w:bCs/>
          <w:color w:val="1F3864"/>
          <w:sz w:val="22"/>
          <w:szCs w:val="22"/>
        </w:rPr>
        <w:t xml:space="preserve">About These Samples</w:t>
      </w:r>
    </w:p>
    <w:p>
      <w:pPr>
        <w:spacing w:before="60" w:after="60"/>
      </w:pPr>
      <w:r>
        <w:rPr>
          <w:rFonts w:ascii="Arial" w:cs="Arial" w:eastAsia="Arial" w:hAnsi="Arial"/>
          <w:color w:val="000000"/>
          <w:sz w:val="20"/>
          <w:szCs w:val="20"/>
        </w:rPr>
        <w:t xml:space="preserve">The following three writing samples are drawn from my professional experience supporting software documentation across cybersecurity, financial services, and enterprise IT environments. All samples reflect actual documentation work performed in contract roles. Client, platform, and system names have been generalized to protect proprietary information. Each sample includes a note on how AI-powered authoring tools were applied in the workflow.</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val="clear"/>
            <w:tcMar>
              <w:top w:type="dxa" w:w="80"/>
              <w:left w:type="dxa" w:w="120"/>
              <w:bottom w:type="dxa" w:w="80"/>
              <w:right w:type="dxa" w:w="120"/>
            </w:tcMar>
          </w:tcPr>
          <w:p>
            <w:r>
              <w:rPr>
                <w:rFonts w:ascii="Arial" w:cs="Arial" w:eastAsia="Arial" w:hAnsi="Arial"/>
                <w:b/>
                <w:bCs/>
                <w:color w:val="FFFFFF"/>
                <w:sz w:val="19"/>
                <w:szCs w:val="19"/>
              </w:rPr>
              <w:t xml:space="preserve">Sample</w:t>
            </w:r>
          </w:p>
        </w:tc>
        <w:tc>
          <w:tcPr>
            <w:tcW w:type="dxa" w:w="5760"/>
            <w:shd w:fill="1F3864" w:val="clear"/>
            <w:tcMar>
              <w:top w:type="dxa" w:w="80"/>
              <w:left w:type="dxa" w:w="120"/>
              <w:bottom w:type="dxa" w:w="80"/>
              <w:right w:type="dxa" w:w="120"/>
            </w:tcMar>
          </w:tcPr>
          <w:p>
            <w:r>
              <w:rPr>
                <w:rFonts w:ascii="Arial" w:cs="Arial" w:eastAsia="Arial" w:hAnsi="Arial"/>
                <w:b/>
                <w:bCs/>
                <w:color w:val="FFFFFF"/>
                <w:sz w:val="19"/>
                <w:szCs w:val="19"/>
              </w:rPr>
              <w:t xml:space="preserve">Skills Demonstrated</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Sample 1: Security Platform User Guide — Incident Management Workflow</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SaaS/software user documentation, feature documentation, SME collaboration, AI-assisted drafting</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Sample 2: REST API Reference — Authentication Token Endpoint</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API documentation, developer audience writing, REST/OpenAPI, engineering team collaboration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Sample 3: Enterprise Software Release Notes — Platform v3.1</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Release note production, multi-audience writing, rapid release cycle documentation, AI workflow</w:t>
            </w:r>
          </w:p>
        </w:tc>
      </w:tr>
    </w:tbl>
    <w:p>
      <w:r>
        <w:br w:type="page"/>
      </w:r>
    </w:p>
    <w:p>
      <w:pPr>
        <w:spacing w:before="0" w:after="40"/>
      </w:pPr>
      <w:r>
        <w:rPr>
          <w:rFonts w:ascii="Arial" w:cs="Arial" w:eastAsia="Arial" w:hAnsi="Arial"/>
          <w:b/>
          <w:bCs/>
          <w:color w:val="1F3864"/>
          <w:sz w:val="20"/>
          <w:szCs w:val="20"/>
        </w:rPr>
        <w:t xml:space="preserve">WRITING SAMPLE 1  </w:t>
      </w:r>
      <w:r>
        <w:rPr>
          <w:rFonts w:ascii="Arial" w:cs="Arial" w:eastAsia="Arial" w:hAnsi="Arial"/>
          <w:i/>
          <w:iCs/>
          <w:color w:val="595959"/>
          <w:sz w:val="20"/>
          <w:szCs w:val="20"/>
        </w:rPr>
        <w:t xml:space="preserve">—  Security Platform User Guide — Incident Management Workflow</w:t>
      </w:r>
    </w:p>
    <w:p>
      <w:pPr>
        <w:spacing w:before="0" w:after="100"/>
      </w:pPr>
      <w:r>
        <w:rPr>
          <w:rFonts w:ascii="Arial" w:cs="Arial" w:eastAsia="Arial" w:hAnsi="Arial"/>
          <w:b/>
          <w:bCs/>
          <w:color w:val="2E5F9A"/>
          <w:sz w:val="19"/>
          <w:szCs w:val="19"/>
        </w:rPr>
        <w:t xml:space="preserve">Skills demonstrated: </w:t>
      </w:r>
      <w:r>
        <w:rPr>
          <w:rFonts w:ascii="Arial" w:cs="Arial" w:eastAsia="Arial" w:hAnsi="Arial"/>
          <w:i/>
          <w:iCs/>
          <w:color w:val="595959"/>
          <w:sz w:val="19"/>
          <w:szCs w:val="19"/>
        </w:rPr>
        <w:t xml:space="preserve">Software user documentation  |  Feature documentation  |  SME collaboration  |  AI-assisted drafting</w:t>
      </w:r>
    </w:p>
    <w:p>
      <w:pPr>
        <w:pBdr>
          <w:bottom w:val="single" w:color="2E5F9A" w:sz="6" w:space="2"/>
        </w:pBdr>
        <w:spacing w:before="200" w:after="100"/>
      </w:pPr>
      <w:r>
        <w:rPr>
          <w:rFonts w:ascii="Arial" w:cs="Arial" w:eastAsia="Arial" w:hAnsi="Arial"/>
          <w:b/>
          <w:bCs/>
          <w:color w:val="1F3864"/>
          <w:sz w:val="26"/>
          <w:szCs w:val="26"/>
        </w:rPr>
        <w:t xml:space="preserve">INCIDENT MANAGEMENT WORKFLOW: USER GUIDE</w:t>
      </w:r>
    </w:p>
    <w:p>
      <w:pPr>
        <w:spacing w:before="60" w:after="60"/>
      </w:pPr>
      <w:r>
        <w:rPr>
          <w:rFonts w:ascii="Arial" w:cs="Arial" w:eastAsia="Arial" w:hAnsi="Arial"/>
          <w:b/>
          <w:bCs/>
          <w:color w:val="2E5F9A"/>
          <w:sz w:val="20"/>
          <w:szCs w:val="20"/>
        </w:rPr>
        <w:t xml:space="preserve">Product: </w:t>
      </w:r>
      <w:r>
        <w:rPr>
          <w:rFonts w:ascii="Arial" w:cs="Arial" w:eastAsia="Arial" w:hAnsi="Arial"/>
          <w:i/>
          <w:iCs/>
          <w:color w:val="595959"/>
          <w:sz w:val="20"/>
          <w:szCs w:val="20"/>
        </w:rPr>
        <w:t xml:space="preserve">Enterprise Cybersecurity Platform — Incident Management Module</w:t>
      </w:r>
    </w:p>
    <w:p>
      <w:pPr>
        <w:spacing w:before="60" w:after="60"/>
      </w:pPr>
      <w:r>
        <w:rPr>
          <w:rFonts w:ascii="Arial" w:cs="Arial" w:eastAsia="Arial" w:hAnsi="Arial"/>
          <w:b/>
          <w:bCs/>
          <w:color w:val="2E5F9A"/>
          <w:sz w:val="20"/>
          <w:szCs w:val="20"/>
        </w:rPr>
        <w:t xml:space="preserve">Audience: </w:t>
      </w:r>
      <w:r>
        <w:rPr>
          <w:rFonts w:ascii="Arial" w:cs="Arial" w:eastAsia="Arial" w:hAnsi="Arial"/>
          <w:i/>
          <w:iCs/>
          <w:color w:val="595959"/>
          <w:sz w:val="20"/>
          <w:szCs w:val="20"/>
        </w:rPr>
        <w:t xml:space="preserve">Security operations analysts and IT administrators — intermediate platform users</w:t>
      </w:r>
    </w:p>
    <w:p>
      <w:pPr>
        <w:spacing w:before="60" w:after="60"/>
      </w:pPr>
      <w:r>
        <w:rPr>
          <w:rFonts w:ascii="Arial" w:cs="Arial" w:eastAsia="Arial" w:hAnsi="Arial"/>
          <w:b/>
          <w:bCs/>
          <w:color w:val="2E5F9A"/>
          <w:sz w:val="20"/>
          <w:szCs w:val="20"/>
        </w:rPr>
        <w:t xml:space="preserve">Purpose: </w:t>
      </w:r>
      <w:r>
        <w:rPr>
          <w:rFonts w:ascii="Arial" w:cs="Arial" w:eastAsia="Arial" w:hAnsi="Arial"/>
          <w:i/>
          <w:iCs/>
          <w:color w:val="595959"/>
          <w:sz w:val="20"/>
          <w:szCs w:val="20"/>
        </w:rPr>
        <w:t xml:space="preserve">Step-by-step guide to creating, managing, and closing security incidents through the platform portal</w:t>
      </w:r>
    </w:p>
    <w:p>
      <w:pPr>
        <w:spacing w:before="60" w:after="60"/>
      </w:pPr>
      <w:r>
        <w:rPr>
          <w:rFonts w:ascii="Arial" w:cs="Arial" w:eastAsia="Arial" w:hAnsi="Arial"/>
          <w:b/>
          <w:bCs/>
          <w:color w:val="2E5F9A"/>
          <w:sz w:val="20"/>
          <w:szCs w:val="20"/>
        </w:rPr>
        <w:t xml:space="preserve">Background: </w:t>
      </w:r>
      <w:r>
        <w:rPr>
          <w:rFonts w:ascii="Arial" w:cs="Arial" w:eastAsia="Arial" w:hAnsi="Arial"/>
          <w:i/>
          <w:iCs/>
          <w:color w:val="595959"/>
          <w:sz w:val="20"/>
          <w:szCs w:val="20"/>
        </w:rPr>
        <w:t xml:space="preserve">Developed during a cybersecurity contract engagement supporting a large energy enterprise. Content gathered through structured SME interviews with security architects and operations analysts.</w:t>
      </w:r>
    </w:p>
    <w:p>
      <w:pPr>
        <w:spacing w:before="60" w:after="60"/>
      </w:pPr>
      <w:r>
        <w:rPr>
          <w:rFonts w:ascii="Arial" w:cs="Arial" w:eastAsia="Arial" w:hAnsi="Arial"/>
          <w:b/>
          <w:bCs/>
          <w:color w:val="2E5F9A"/>
          <w:sz w:val="20"/>
          <w:szCs w:val="20"/>
        </w:rPr>
        <w:t xml:space="preserve">AI Workflow Note: </w:t>
      </w:r>
      <w:r>
        <w:rPr>
          <w:rFonts w:ascii="Arial" w:cs="Arial" w:eastAsia="Arial" w:hAnsi="Arial"/>
          <w:i/>
          <w:iCs/>
          <w:color w:val="595959"/>
          <w:sz w:val="20"/>
          <w:szCs w:val="20"/>
        </w:rPr>
        <w:t xml:space="preserve">Initial outline and draft bullet structure generated using Claude AI from SME interview notes and Confluence wiki source material; all content reviewed, rewritten, and validated by the author against platform specifications and security team review</w:t>
      </w:r>
    </w:p>
    <w:p>
      <w:pPr>
        <w:spacing w:before="80" w:after="0"/>
      </w:pPr>
    </w:p>
    <w:p>
      <w:pPr>
        <w:spacing w:before="180" w:after="60"/>
      </w:pPr>
      <w:r>
        <w:rPr>
          <w:rFonts w:ascii="Arial" w:cs="Arial" w:eastAsia="Arial" w:hAnsi="Arial"/>
          <w:b/>
          <w:bCs/>
          <w:color w:val="1F3864"/>
          <w:sz w:val="22"/>
          <w:szCs w:val="22"/>
        </w:rPr>
        <w:t xml:space="preserve">Overview</w:t>
      </w:r>
    </w:p>
    <w:p>
      <w:pPr>
        <w:spacing w:before="60" w:after="60"/>
      </w:pPr>
      <w:r>
        <w:rPr>
          <w:rFonts w:ascii="Arial" w:cs="Arial" w:eastAsia="Arial" w:hAnsi="Arial"/>
          <w:color w:val="000000"/>
          <w:sz w:val="20"/>
          <w:szCs w:val="20"/>
        </w:rPr>
        <w:t xml:space="preserve">The Incident Management module provides a centralized workflow for logging, tracking, investigating, and closing security incidents across your organization. Use this guide to understand how to create a new incident, assign it to the appropriate team, manage status updates through the investigation lifecycle, and generate a closure report for audit documentation.</w:t>
      </w:r>
    </w:p>
    <w:p>
      <w:pPr>
        <w:pBdr>
          <w:left w:val="single" w:color="2E5F9A" w:sz="12" w:space="10"/>
        </w:pBdr>
        <w:spacing w:before="100" w:after="100"/>
        <w:ind w:left="500" w:right="500"/>
      </w:pPr>
      <w:r>
        <w:rPr>
          <w:rFonts w:ascii="Arial" w:cs="Arial" w:eastAsia="Arial" w:hAnsi="Arial"/>
          <w:b/>
          <w:bCs/>
          <w:color w:val="2E5F9A"/>
          <w:sz w:val="20"/>
          <w:szCs w:val="20"/>
        </w:rPr>
        <w:t xml:space="preserve">Important:  </w:t>
      </w:r>
      <w:r>
        <w:rPr>
          <w:rFonts w:ascii="Arial" w:cs="Arial" w:eastAsia="Arial" w:hAnsi="Arial"/>
          <w:color w:val="595959"/>
          <w:sz w:val="20"/>
          <w:szCs w:val="20"/>
        </w:rPr>
        <w:t xml:space="preserve">All security incidents must be logged within the platform within two hours of detection per your organization's incident response policy. Incidents logged outside this window require a documented justification in the incident record.</w:t>
      </w:r>
    </w:p>
    <w:p>
      <w:pPr>
        <w:spacing w:before="180" w:after="60"/>
      </w:pPr>
      <w:r>
        <w:rPr>
          <w:rFonts w:ascii="Arial" w:cs="Arial" w:eastAsia="Arial" w:hAnsi="Arial"/>
          <w:b/>
          <w:bCs/>
          <w:color w:val="1F3864"/>
          <w:sz w:val="22"/>
          <w:szCs w:val="22"/>
        </w:rPr>
        <w:t xml:space="preserve">Creating a New Incident</w:t>
      </w:r>
    </w:p>
    <w:p>
      <w:pPr>
        <w:pStyle w:val="ListParagraph"/>
        <w:numPr>
          <w:ilvl w:val="0"/>
          <w:numId w:val="2"/>
        </w:numPr>
        <w:spacing w:before="40" w:after="40"/>
      </w:pPr>
      <w:r>
        <w:rPr>
          <w:rFonts w:ascii="Arial" w:cs="Arial" w:eastAsia="Arial" w:hAnsi="Arial"/>
          <w:color w:val="000000"/>
          <w:sz w:val="20"/>
          <w:szCs w:val="20"/>
        </w:rPr>
        <w:t xml:space="preserve">Log in to the security platform using your SSO credentials.</w:t>
      </w:r>
    </w:p>
    <w:p>
      <w:pPr>
        <w:pStyle w:val="ListParagraph"/>
        <w:numPr>
          <w:ilvl w:val="0"/>
          <w:numId w:val="2"/>
        </w:numPr>
        <w:spacing w:before="40" w:after="40"/>
      </w:pPr>
      <w:r>
        <w:rPr>
          <w:rFonts w:ascii="Arial" w:cs="Arial" w:eastAsia="Arial" w:hAnsi="Arial"/>
          <w:color w:val="000000"/>
          <w:sz w:val="20"/>
          <w:szCs w:val="20"/>
        </w:rPr>
        <w:t xml:space="preserve">From the left navigation panel, select Incidents &gt; New Incident.</w:t>
      </w:r>
    </w:p>
    <w:p>
      <w:pPr>
        <w:pStyle w:val="ListParagraph"/>
        <w:numPr>
          <w:ilvl w:val="0"/>
          <w:numId w:val="2"/>
        </w:numPr>
        <w:spacing w:before="40" w:after="40"/>
      </w:pPr>
      <w:r>
        <w:rPr>
          <w:rFonts w:ascii="Arial" w:cs="Arial" w:eastAsia="Arial" w:hAnsi="Arial"/>
          <w:color w:val="000000"/>
          <w:sz w:val="20"/>
          <w:szCs w:val="20"/>
        </w:rPr>
        <w:t xml:space="preserve">Complete all required fields on the incident intake form (see field reference below).</w:t>
      </w:r>
    </w:p>
    <w:p>
      <w:pPr>
        <w:pStyle w:val="ListParagraph"/>
        <w:numPr>
          <w:ilvl w:val="0"/>
          <w:numId w:val="2"/>
        </w:numPr>
        <w:spacing w:before="40" w:after="40"/>
      </w:pPr>
      <w:r>
        <w:rPr>
          <w:rFonts w:ascii="Arial" w:cs="Arial" w:eastAsia="Arial" w:hAnsi="Arial"/>
          <w:color w:val="000000"/>
          <w:sz w:val="20"/>
          <w:szCs w:val="20"/>
        </w:rPr>
        <w:t xml:space="preserve">Select the incident severity level: Critical, High, Medium, or Low.</w:t>
      </w:r>
    </w:p>
    <w:p>
      <w:pPr>
        <w:pStyle w:val="ListParagraph"/>
        <w:numPr>
          <w:ilvl w:val="0"/>
          <w:numId w:val="2"/>
        </w:numPr>
        <w:spacing w:before="40" w:after="40"/>
      </w:pPr>
      <w:r>
        <w:rPr>
          <w:rFonts w:ascii="Arial" w:cs="Arial" w:eastAsia="Arial" w:hAnsi="Arial"/>
          <w:color w:val="000000"/>
          <w:sz w:val="20"/>
          <w:szCs w:val="20"/>
        </w:rPr>
        <w:t xml:space="preserve">Assign the incident to the appropriate response team using the Assign To dropdown.</w:t>
      </w:r>
    </w:p>
    <w:p>
      <w:pPr>
        <w:pStyle w:val="ListParagraph"/>
        <w:numPr>
          <w:ilvl w:val="0"/>
          <w:numId w:val="2"/>
        </w:numPr>
        <w:spacing w:before="40" w:after="40"/>
      </w:pPr>
      <w:r>
        <w:rPr>
          <w:rFonts w:ascii="Arial" w:cs="Arial" w:eastAsia="Arial" w:hAnsi="Arial"/>
          <w:color w:val="000000"/>
          <w:sz w:val="20"/>
          <w:szCs w:val="20"/>
        </w:rPr>
        <w:t xml:space="preserve">Click Submit Incident. The platform generates a unique incident ID and sends notifications to the assigned team.</w:t>
      </w:r>
    </w:p>
    <w:p>
      <w:pPr>
        <w:spacing w:before="180" w:after="60"/>
      </w:pPr>
      <w:r>
        <w:rPr>
          <w:rFonts w:ascii="Arial" w:cs="Arial" w:eastAsia="Arial" w:hAnsi="Arial"/>
          <w:b/>
          <w:bCs/>
          <w:color w:val="1F3864"/>
          <w:sz w:val="22"/>
          <w:szCs w:val="22"/>
        </w:rPr>
        <w:t xml:space="preserve">Incident Intake Form —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5760"/>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Incident Title</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Brief, descriptive title summarizing the event. Example: Unauthorized access attempt — Finance VPN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Detection Source</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How the incident was detected: SIEM alert, user report, automated scan, or third-party notification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Affected Systems</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List all systems, applications, or data assets involved or potentially affected</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Incident Description</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Detailed narrative of what occurred, including timeline of events and initial observations</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Severity</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Critical: active breach or data loss  |  High: significant risk  |  Medium: contained risk  |  Low: informational</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Assign To</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Select the response team responsible for investigation and remediation</w:t>
            </w:r>
          </w:p>
        </w:tc>
      </w:tr>
    </w:tbl>
    <w:p>
      <w:pPr>
        <w:spacing w:before="80" w:after="0"/>
      </w:pPr>
    </w:p>
    <w:p>
      <w:pPr>
        <w:spacing w:before="180" w:after="60"/>
      </w:pPr>
      <w:r>
        <w:rPr>
          <w:rFonts w:ascii="Arial" w:cs="Arial" w:eastAsia="Arial" w:hAnsi="Arial"/>
          <w:b/>
          <w:bCs/>
          <w:color w:val="1F3864"/>
          <w:sz w:val="22"/>
          <w:szCs w:val="22"/>
        </w:rPr>
        <w:t xml:space="preserve">Managing Incident Status</w:t>
      </w:r>
    </w:p>
    <w:p>
      <w:pPr>
        <w:spacing w:before="60" w:after="60"/>
      </w:pPr>
      <w:r>
        <w:rPr>
          <w:rFonts w:ascii="Arial" w:cs="Arial" w:eastAsia="Arial" w:hAnsi="Arial"/>
          <w:color w:val="000000"/>
          <w:sz w:val="20"/>
          <w:szCs w:val="20"/>
        </w:rPr>
        <w:t xml:space="preserve">Incidents move through four workflow stages. The assigned team is responsible for updating status as the investigation progresses.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760"/>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Open</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Incident has been logged and assigned. Investigation not yet started.</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In Progress</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Active investigation or remediation underway. Update the incident record with findings as work progresses.</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Pending Review</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Remediation complete. Awaiting review and sign-off from the security team lead before closure.</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Closed</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Incident resolved and closure report completed. Record is locked for audit purposes.</w:t>
            </w:r>
          </w:p>
        </w:tc>
      </w:tr>
    </w:tbl>
    <w:p>
      <w:pPr>
        <w:spacing w:before="80" w:after="0"/>
      </w:pPr>
    </w:p>
    <w:p>
      <w:pPr>
        <w:pBdr>
          <w:left w:val="single" w:color="2E5F9A" w:sz="12" w:space="10"/>
        </w:pBdr>
        <w:spacing w:before="100" w:after="100"/>
        <w:ind w:left="500" w:right="500"/>
      </w:pPr>
      <w:r>
        <w:rPr>
          <w:rFonts w:ascii="Arial" w:cs="Arial" w:eastAsia="Arial" w:hAnsi="Arial"/>
          <w:b/>
          <w:bCs/>
          <w:color w:val="2E5F9A"/>
          <w:sz w:val="20"/>
          <w:szCs w:val="20"/>
        </w:rPr>
        <w:t xml:space="preserve">Note:  </w:t>
      </w:r>
      <w:r>
        <w:rPr>
          <w:rFonts w:ascii="Arial" w:cs="Arial" w:eastAsia="Arial" w:hAnsi="Arial"/>
          <w:color w:val="595959"/>
          <w:sz w:val="20"/>
          <w:szCs w:val="20"/>
        </w:rPr>
        <w:t xml:space="preserve">Critical and High severity incidents require documented approval from the Security Operations Manager before status can be changed to Closed. This approval is recorded automatically when the manager selects Approve Closure in the incident record.</w:t>
      </w:r>
    </w:p>
    <w:p>
      <w:pPr>
        <w:spacing w:before="180" w:after="60"/>
      </w:pPr>
      <w:r>
        <w:rPr>
          <w:rFonts w:ascii="Arial" w:cs="Arial" w:eastAsia="Arial" w:hAnsi="Arial"/>
          <w:b/>
          <w:bCs/>
          <w:color w:val="1F3864"/>
          <w:sz w:val="22"/>
          <w:szCs w:val="22"/>
        </w:rPr>
        <w:t xml:space="preserve">Closing an Incident</w:t>
      </w:r>
    </w:p>
    <w:p>
      <w:pPr>
        <w:pStyle w:val="ListParagraph"/>
        <w:numPr>
          <w:ilvl w:val="0"/>
          <w:numId w:val="2"/>
        </w:numPr>
        <w:spacing w:before="40" w:after="40"/>
      </w:pPr>
      <w:r>
        <w:rPr>
          <w:rFonts w:ascii="Arial" w:cs="Arial" w:eastAsia="Arial" w:hAnsi="Arial"/>
          <w:color w:val="000000"/>
          <w:sz w:val="20"/>
          <w:szCs w:val="20"/>
        </w:rPr>
        <w:t xml:space="preserve">Open the incident record and verify all investigation notes and findings are documented.</w:t>
      </w:r>
    </w:p>
    <w:p>
      <w:pPr>
        <w:pStyle w:val="ListParagraph"/>
        <w:numPr>
          <w:ilvl w:val="0"/>
          <w:numId w:val="2"/>
        </w:numPr>
        <w:spacing w:before="40" w:after="40"/>
      </w:pPr>
      <w:r>
        <w:rPr>
          <w:rFonts w:ascii="Arial" w:cs="Arial" w:eastAsia="Arial" w:hAnsi="Arial"/>
          <w:color w:val="000000"/>
          <w:sz w:val="20"/>
          <w:szCs w:val="20"/>
        </w:rPr>
        <w:t xml:space="preserve">Complete the Root Cause Analysis field with a summary of the confirmed or probable cause.</w:t>
      </w:r>
    </w:p>
    <w:p>
      <w:pPr>
        <w:pStyle w:val="ListParagraph"/>
        <w:numPr>
          <w:ilvl w:val="0"/>
          <w:numId w:val="2"/>
        </w:numPr>
        <w:spacing w:before="40" w:after="40"/>
      </w:pPr>
      <w:r>
        <w:rPr>
          <w:rFonts w:ascii="Arial" w:cs="Arial" w:eastAsia="Arial" w:hAnsi="Arial"/>
          <w:color w:val="000000"/>
          <w:sz w:val="20"/>
          <w:szCs w:val="20"/>
        </w:rPr>
        <w:t xml:space="preserve">Document all remediation actions taken in the Remediation Summary field.</w:t>
      </w:r>
    </w:p>
    <w:p>
      <w:pPr>
        <w:pStyle w:val="ListParagraph"/>
        <w:numPr>
          <w:ilvl w:val="0"/>
          <w:numId w:val="2"/>
        </w:numPr>
        <w:spacing w:before="40" w:after="40"/>
      </w:pPr>
      <w:r>
        <w:rPr>
          <w:rFonts w:ascii="Arial" w:cs="Arial" w:eastAsia="Arial" w:hAnsi="Arial"/>
          <w:color w:val="000000"/>
          <w:sz w:val="20"/>
          <w:szCs w:val="20"/>
        </w:rPr>
        <w:t xml:space="preserve">Select a closure classification: Resolved, False Positive, Duplicate, or Informational.</w:t>
      </w:r>
    </w:p>
    <w:p>
      <w:pPr>
        <w:pStyle w:val="ListParagraph"/>
        <w:numPr>
          <w:ilvl w:val="0"/>
          <w:numId w:val="2"/>
        </w:numPr>
        <w:spacing w:before="40" w:after="40"/>
      </w:pPr>
      <w:r>
        <w:rPr>
          <w:rFonts w:ascii="Arial" w:cs="Arial" w:eastAsia="Arial" w:hAnsi="Arial"/>
          <w:color w:val="000000"/>
          <w:sz w:val="20"/>
          <w:szCs w:val="20"/>
        </w:rPr>
        <w:t xml:space="preserve">Click Submit for Review. The incident moves to Pending Review status.</w:t>
      </w:r>
    </w:p>
    <w:p>
      <w:pPr>
        <w:pStyle w:val="ListParagraph"/>
        <w:numPr>
          <w:ilvl w:val="0"/>
          <w:numId w:val="2"/>
        </w:numPr>
        <w:spacing w:before="40" w:after="40"/>
      </w:pPr>
      <w:r>
        <w:rPr>
          <w:rFonts w:ascii="Arial" w:cs="Arial" w:eastAsia="Arial" w:hAnsi="Arial"/>
          <w:color w:val="000000"/>
          <w:sz w:val="20"/>
          <w:szCs w:val="20"/>
        </w:rPr>
        <w:t xml:space="preserve">Once approved by the team lead, click Close Incident. The platform generates a closure report automatically.</w:t>
      </w:r>
    </w:p>
    <w:p>
      <w:pPr>
        <w:pStyle w:val="ListParagraph"/>
        <w:numPr>
          <w:ilvl w:val="0"/>
          <w:numId w:val="2"/>
        </w:numPr>
        <w:spacing w:before="40" w:after="40"/>
      </w:pPr>
      <w:r>
        <w:rPr>
          <w:rFonts w:ascii="Arial" w:cs="Arial" w:eastAsia="Arial" w:hAnsi="Arial"/>
          <w:color w:val="000000"/>
          <w:sz w:val="20"/>
          <w:szCs w:val="20"/>
        </w:rPr>
        <w:t xml:space="preserve">Download or save the closure report for audit documentation records.</w:t>
      </w:r>
    </w:p>
    <w:p>
      <w:r>
        <w:br w:type="page"/>
      </w:r>
    </w:p>
    <w:p>
      <w:pPr>
        <w:spacing w:before="0" w:after="40"/>
      </w:pPr>
      <w:r>
        <w:rPr>
          <w:rFonts w:ascii="Arial" w:cs="Arial" w:eastAsia="Arial" w:hAnsi="Arial"/>
          <w:b/>
          <w:bCs/>
          <w:color w:val="1F3864"/>
          <w:sz w:val="20"/>
          <w:szCs w:val="20"/>
        </w:rPr>
        <w:t xml:space="preserve">WRITING SAMPLE 2  </w:t>
      </w:r>
      <w:r>
        <w:rPr>
          <w:rFonts w:ascii="Arial" w:cs="Arial" w:eastAsia="Arial" w:hAnsi="Arial"/>
          <w:i/>
          <w:iCs/>
          <w:color w:val="595959"/>
          <w:sz w:val="20"/>
          <w:szCs w:val="20"/>
        </w:rPr>
        <w:t xml:space="preserve">—  REST API Reference — Authentication Token Endpoint</w:t>
      </w:r>
    </w:p>
    <w:p>
      <w:pPr>
        <w:spacing w:before="0" w:after="100"/>
      </w:pPr>
      <w:r>
        <w:rPr>
          <w:rFonts w:ascii="Arial" w:cs="Arial" w:eastAsia="Arial" w:hAnsi="Arial"/>
          <w:b/>
          <w:bCs/>
          <w:color w:val="2E5F9A"/>
          <w:sz w:val="19"/>
          <w:szCs w:val="19"/>
        </w:rPr>
        <w:t xml:space="preserve">Skills demonstrated: </w:t>
      </w:r>
      <w:r>
        <w:rPr>
          <w:rFonts w:ascii="Arial" w:cs="Arial" w:eastAsia="Arial" w:hAnsi="Arial"/>
          <w:i/>
          <w:iCs/>
          <w:color w:val="595959"/>
          <w:sz w:val="19"/>
          <w:szCs w:val="19"/>
        </w:rPr>
        <w:t xml:space="preserve">API documentation  |  Developer audience writing  |  REST / OpenAPI  |  Engineering team collaboration</w:t>
      </w:r>
    </w:p>
    <w:p>
      <w:pPr>
        <w:pBdr>
          <w:bottom w:val="single" w:color="2E5F9A" w:sz="6" w:space="2"/>
        </w:pBdr>
        <w:spacing w:before="200" w:after="100"/>
      </w:pPr>
      <w:r>
        <w:rPr>
          <w:rFonts w:ascii="Arial" w:cs="Arial" w:eastAsia="Arial" w:hAnsi="Arial"/>
          <w:b/>
          <w:bCs/>
          <w:color w:val="1F3864"/>
          <w:sz w:val="26"/>
          <w:szCs w:val="26"/>
        </w:rPr>
        <w:t xml:space="preserve">API REFERENCE: AUTHENTICATION TOKEN</w:t>
      </w:r>
    </w:p>
    <w:p>
      <w:pPr>
        <w:spacing w:before="60" w:after="60"/>
      </w:pPr>
      <w:r>
        <w:rPr>
          <w:rFonts w:ascii="Arial" w:cs="Arial" w:eastAsia="Arial" w:hAnsi="Arial"/>
          <w:b/>
          <w:bCs/>
          <w:color w:val="2E5F9A"/>
          <w:sz w:val="20"/>
          <w:szCs w:val="20"/>
        </w:rPr>
        <w:t xml:space="preserve">Product: </w:t>
      </w:r>
      <w:r>
        <w:rPr>
          <w:rFonts w:ascii="Arial" w:cs="Arial" w:eastAsia="Arial" w:hAnsi="Arial"/>
          <w:i/>
          <w:iCs/>
          <w:color w:val="595959"/>
          <w:sz w:val="20"/>
          <w:szCs w:val="20"/>
        </w:rPr>
        <w:t xml:space="preserve">Enterprise Financial Services Platform — Authentication API v2</w:t>
      </w:r>
    </w:p>
    <w:p>
      <w:pPr>
        <w:spacing w:before="60" w:after="60"/>
      </w:pPr>
      <w:r>
        <w:rPr>
          <w:rFonts w:ascii="Arial" w:cs="Arial" w:eastAsia="Arial" w:hAnsi="Arial"/>
          <w:b/>
          <w:bCs/>
          <w:color w:val="2E5F9A"/>
          <w:sz w:val="20"/>
          <w:szCs w:val="20"/>
        </w:rPr>
        <w:t xml:space="preserve">Audience: </w:t>
      </w:r>
      <w:r>
        <w:rPr>
          <w:rFonts w:ascii="Arial" w:cs="Arial" w:eastAsia="Arial" w:hAnsi="Arial"/>
          <w:i/>
          <w:iCs/>
          <w:color w:val="595959"/>
          <w:sz w:val="20"/>
          <w:szCs w:val="20"/>
        </w:rPr>
        <w:t xml:space="preserve">Developers and integration partners building authenticated connections to the platform</w:t>
      </w:r>
    </w:p>
    <w:p>
      <w:pPr>
        <w:spacing w:before="60" w:after="60"/>
      </w:pPr>
      <w:r>
        <w:rPr>
          <w:rFonts w:ascii="Arial" w:cs="Arial" w:eastAsia="Arial" w:hAnsi="Arial"/>
          <w:b/>
          <w:bCs/>
          <w:color w:val="2E5F9A"/>
          <w:sz w:val="20"/>
          <w:szCs w:val="20"/>
        </w:rPr>
        <w:t xml:space="preserve">Purpose: </w:t>
      </w:r>
      <w:r>
        <w:rPr>
          <w:rFonts w:ascii="Arial" w:cs="Arial" w:eastAsia="Arial" w:hAnsi="Arial"/>
          <w:i/>
          <w:iCs/>
          <w:color w:val="595959"/>
          <w:sz w:val="20"/>
          <w:szCs w:val="20"/>
        </w:rPr>
        <w:t xml:space="preserve">Reference documentation for the token generation and refresh endpoints</w:t>
      </w:r>
    </w:p>
    <w:p>
      <w:pPr>
        <w:spacing w:before="60" w:after="60"/>
      </w:pPr>
      <w:r>
        <w:rPr>
          <w:rFonts w:ascii="Arial" w:cs="Arial" w:eastAsia="Arial" w:hAnsi="Arial"/>
          <w:b/>
          <w:bCs/>
          <w:color w:val="2E5F9A"/>
          <w:sz w:val="20"/>
          <w:szCs w:val="20"/>
        </w:rPr>
        <w:t xml:space="preserve">Background: </w:t>
      </w:r>
      <w:r>
        <w:rPr>
          <w:rFonts w:ascii="Arial" w:cs="Arial" w:eastAsia="Arial" w:hAnsi="Arial"/>
          <w:i/>
          <w:iCs/>
          <w:color w:val="595959"/>
          <w:sz w:val="20"/>
          <w:szCs w:val="20"/>
        </w:rPr>
        <w:t xml:space="preserve">Developed during a financial services contract engagement supporting a regulated insurance and investment platform. Content gathered through direct collaboration with backend engineers and API architects.</w:t>
      </w:r>
    </w:p>
    <w:p>
      <w:pPr>
        <w:spacing w:before="60" w:after="60"/>
      </w:pPr>
      <w:r>
        <w:rPr>
          <w:rFonts w:ascii="Arial" w:cs="Arial" w:eastAsia="Arial" w:hAnsi="Arial"/>
          <w:b/>
          <w:bCs/>
          <w:color w:val="2E5F9A"/>
          <w:sz w:val="20"/>
          <w:szCs w:val="20"/>
        </w:rPr>
        <w:t xml:space="preserve">AI Workflow Note: </w:t>
      </w:r>
      <w:r>
        <w:rPr>
          <w:rFonts w:ascii="Arial" w:cs="Arial" w:eastAsia="Arial" w:hAnsi="Arial"/>
          <w:i/>
          <w:iCs/>
          <w:color w:val="595959"/>
          <w:sz w:val="20"/>
          <w:szCs w:val="20"/>
        </w:rPr>
        <w:t xml:space="preserve">Endpoint parameter tables and response schema drafted using GitHub Copilot from raw OpenAPI spec files; narrative descriptions, usage notes, and error guidance written and validated by the author through engineering review</w:t>
      </w:r>
    </w:p>
    <w:p>
      <w:pPr>
        <w:spacing w:before="80" w:after="0"/>
      </w:pPr>
    </w:p>
    <w:p>
      <w:pPr>
        <w:spacing w:before="180" w:after="60"/>
      </w:pPr>
      <w:r>
        <w:rPr>
          <w:rFonts w:ascii="Arial" w:cs="Arial" w:eastAsia="Arial" w:hAnsi="Arial"/>
          <w:b/>
          <w:bCs/>
          <w:color w:val="1F3864"/>
          <w:sz w:val="22"/>
          <w:szCs w:val="22"/>
        </w:rPr>
        <w:t xml:space="preserve">Overview</w:t>
      </w:r>
    </w:p>
    <w:p>
      <w:pPr>
        <w:spacing w:before="60" w:after="60"/>
      </w:pPr>
      <w:r>
        <w:rPr>
          <w:rFonts w:ascii="Arial" w:cs="Arial" w:eastAsia="Arial" w:hAnsi="Arial"/>
          <w:color w:val="000000"/>
          <w:sz w:val="20"/>
          <w:szCs w:val="20"/>
        </w:rPr>
        <w:t xml:space="preserve">The Authentication API uses OAuth 2.0 bearer tokens to secure all platform API requests. Use the endpoints in this section to generate a new access token and refresh an existing token before it expires. All other platform API calls require a valid bearer token passed in the Authorization header.</w:t>
      </w:r>
    </w:p>
    <w:p>
      <w:pPr>
        <w:pBdr>
          <w:left w:val="single" w:color="2E5F9A" w:sz="12" w:space="10"/>
        </w:pBdr>
        <w:spacing w:before="100" w:after="100"/>
        <w:ind w:left="500" w:right="500"/>
      </w:pPr>
      <w:r>
        <w:rPr>
          <w:rFonts w:ascii="Arial" w:cs="Arial" w:eastAsia="Arial" w:hAnsi="Arial"/>
          <w:b/>
          <w:bCs/>
          <w:color w:val="2E5F9A"/>
          <w:sz w:val="20"/>
          <w:szCs w:val="20"/>
        </w:rPr>
        <w:t xml:space="preserve">Security Note:  </w:t>
      </w:r>
      <w:r>
        <w:rPr>
          <w:rFonts w:ascii="Arial" w:cs="Arial" w:eastAsia="Arial" w:hAnsi="Arial"/>
          <w:color w:val="595959"/>
          <w:sz w:val="20"/>
          <w:szCs w:val="20"/>
        </w:rPr>
        <w:t xml:space="preserve">Access tokens expire after 60 minutes. Refresh tokens are valid for 30 days. Store tokens securely and never expose them in client-side code, logs, or version control repositories.</w:t>
      </w:r>
    </w:p>
    <w:p>
      <w:pPr>
        <w:spacing w:before="180" w:after="60"/>
      </w:pPr>
      <w:r>
        <w:rPr>
          <w:rFonts w:ascii="Arial" w:cs="Arial" w:eastAsia="Arial" w:hAnsi="Arial"/>
          <w:b/>
          <w:bCs/>
          <w:color w:val="1F3864"/>
          <w:sz w:val="22"/>
          <w:szCs w:val="22"/>
        </w:rPr>
        <w:t xml:space="preserve">Generate Access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5760"/>
            <w:shd w:fill="1F3864"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Method</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POST</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Endpoint</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/api/v2/auth/token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Authentication</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Client credentials (client_id and client_secret)</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Content-Type</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application/x-www-form-urlencoded</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Response Format</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JSON</w:t>
            </w:r>
          </w:p>
        </w:tc>
      </w:tr>
    </w:tbl>
    <w:p>
      <w:pPr>
        <w:spacing w:before="80" w:after="0"/>
      </w:pPr>
    </w:p>
    <w:p>
      <w:pPr>
        <w:spacing w:before="140" w:after="40"/>
      </w:pPr>
      <w:r>
        <w:rPr>
          <w:rFonts w:ascii="Arial" w:cs="Arial" w:eastAsia="Arial" w:hAnsi="Arial"/>
          <w:b/>
          <w:bCs/>
          <w:color w:val="2E5F9A"/>
          <w:sz w:val="20"/>
          <w:szCs w:val="20"/>
        </w:rPr>
        <w:t xml:space="preserve">Request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5760"/>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grant_type</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Required. Must be set to client_credentials.</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client_id</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Required. Your application's client ID, provided during API registration.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client_secret</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Required. Your application's client secret. Treat as a password — never share or expose.</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scope</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Optional. Space-separated list of requested permission scopes. Defaults to read if omitted.</w:t>
            </w:r>
          </w:p>
        </w:tc>
      </w:tr>
    </w:tbl>
    <w:p>
      <w:pPr>
        <w:spacing w:before="80" w:after="0"/>
      </w:pPr>
    </w:p>
    <w:p>
      <w:pPr>
        <w:spacing w:before="140" w:after="40"/>
      </w:pPr>
      <w:r>
        <w:rPr>
          <w:rFonts w:ascii="Arial" w:cs="Arial" w:eastAsia="Arial" w:hAnsi="Arial"/>
          <w:b/>
          <w:bCs/>
          <w:color w:val="2E5F9A"/>
          <w:sz w:val="20"/>
          <w:szCs w:val="20"/>
        </w:rPr>
        <w:t xml:space="preserve">Example Request</w:t>
      </w:r>
    </w:p>
    <w:p>
      <w:pPr>
        <w:spacing w:before="40" w:after="40"/>
        <w:ind w:left="500"/>
      </w:pPr>
      <w:r>
        <w:rPr>
          <w:rFonts w:ascii="Courier New" w:cs="Courier New" w:eastAsia="Courier New" w:hAnsi="Courier New"/>
          <w:color w:val="2E2E2E"/>
          <w:sz w:val="18"/>
          <w:szCs w:val="18"/>
        </w:rPr>
        <w:t xml:space="preserve">POST /api/v2/auth/token</w:t>
      </w:r>
    </w:p>
    <w:p>
      <w:pPr>
        <w:spacing w:before="40" w:after="40"/>
        <w:ind w:left="500"/>
      </w:pPr>
      <w:r>
        <w:rPr>
          <w:rFonts w:ascii="Courier New" w:cs="Courier New" w:eastAsia="Courier New" w:hAnsi="Courier New"/>
          <w:color w:val="2E2E2E"/>
          <w:sz w:val="18"/>
          <w:szCs w:val="18"/>
        </w:rPr>
        <w:t xml:space="preserve">Content-Type: application/x-www-form-urlencoded</w:t>
      </w:r>
    </w:p>
    <w:p>
      <w:pPr>
        <w:spacing w:before="40" w:after="40"/>
        <w:ind w:left="500"/>
      </w:pPr>
      <w:r>
        <w:rPr>
          <w:rFonts w:ascii="Courier New" w:cs="Courier New" w:eastAsia="Courier New" w:hAnsi="Courier New"/>
          <w:color w:val="2E2E2E"/>
          <w:sz w:val="18"/>
          <w:szCs w:val="18"/>
        </w:rPr>
        <w:t xml:space="preserve"/>
      </w:r>
    </w:p>
    <w:p>
      <w:pPr>
        <w:spacing w:before="40" w:after="40"/>
        <w:ind w:left="500"/>
      </w:pPr>
      <w:r>
        <w:rPr>
          <w:rFonts w:ascii="Courier New" w:cs="Courier New" w:eastAsia="Courier New" w:hAnsi="Courier New"/>
          <w:color w:val="2E2E2E"/>
          <w:sz w:val="18"/>
          <w:szCs w:val="18"/>
        </w:rPr>
        <w:t xml:space="preserve">grant_type=client_credentials</w:t>
      </w:r>
    </w:p>
    <w:p>
      <w:pPr>
        <w:spacing w:before="40" w:after="40"/>
        <w:ind w:left="500"/>
      </w:pPr>
      <w:r>
        <w:rPr>
          <w:rFonts w:ascii="Courier New" w:cs="Courier New" w:eastAsia="Courier New" w:hAnsi="Courier New"/>
          <w:color w:val="2E2E2E"/>
          <w:sz w:val="18"/>
          <w:szCs w:val="18"/>
        </w:rPr>
        <w:t xml:space="preserve">&amp;client_id=your_client_id</w:t>
      </w:r>
    </w:p>
    <w:p>
      <w:pPr>
        <w:spacing w:before="40" w:after="40"/>
        <w:ind w:left="500"/>
      </w:pPr>
      <w:r>
        <w:rPr>
          <w:rFonts w:ascii="Courier New" w:cs="Courier New" w:eastAsia="Courier New" w:hAnsi="Courier New"/>
          <w:color w:val="2E2E2E"/>
          <w:sz w:val="18"/>
          <w:szCs w:val="18"/>
        </w:rPr>
        <w:t xml:space="preserve">&amp;client_secret=your_client_secret</w:t>
      </w:r>
    </w:p>
    <w:p>
      <w:pPr>
        <w:spacing w:before="40" w:after="40"/>
        <w:ind w:left="500"/>
      </w:pPr>
      <w:r>
        <w:rPr>
          <w:rFonts w:ascii="Courier New" w:cs="Courier New" w:eastAsia="Courier New" w:hAnsi="Courier New"/>
          <w:color w:val="2E2E2E"/>
          <w:sz w:val="18"/>
          <w:szCs w:val="18"/>
        </w:rPr>
        <w:t xml:space="preserve">&amp;scope=read write</w:t>
      </w:r>
    </w:p>
    <w:p>
      <w:pPr>
        <w:spacing w:before="140" w:after="40"/>
      </w:pPr>
      <w:r>
        <w:rPr>
          <w:rFonts w:ascii="Arial" w:cs="Arial" w:eastAsia="Arial" w:hAnsi="Arial"/>
          <w:b/>
          <w:bCs/>
          <w:color w:val="2E5F9A"/>
          <w:sz w:val="20"/>
          <w:szCs w:val="20"/>
        </w:rPr>
        <w:t xml:space="preserve">Example Response</w:t>
      </w:r>
    </w:p>
    <w:p>
      <w:pPr>
        <w:spacing w:before="40" w:after="40"/>
        <w:ind w:left="500"/>
      </w:pPr>
      <w:r>
        <w:rPr>
          <w:rFonts w:ascii="Courier New" w:cs="Courier New" w:eastAsia="Courier New" w:hAnsi="Courier New"/>
          <w:color w:val="2E2E2E"/>
          <w:sz w:val="18"/>
          <w:szCs w:val="18"/>
        </w:rPr>
        <w:t xml:space="preserve">{</w:t>
      </w:r>
    </w:p>
    <w:p>
      <w:pPr>
        <w:spacing w:before="40" w:after="40"/>
        <w:ind w:left="500"/>
      </w:pPr>
      <w:r>
        <w:rPr>
          <w:rFonts w:ascii="Courier New" w:cs="Courier New" w:eastAsia="Courier New" w:hAnsi="Courier New"/>
          <w:color w:val="2E2E2E"/>
          <w:sz w:val="18"/>
          <w:szCs w:val="18"/>
        </w:rPr>
        <w:t xml:space="preserve">  "access_token": "eyJhbGciOiJSUzI1NiIsInR5cCI6IkpXVCJ9...",</w:t>
      </w:r>
    </w:p>
    <w:p>
      <w:pPr>
        <w:spacing w:before="40" w:after="40"/>
        <w:ind w:left="500"/>
      </w:pPr>
      <w:r>
        <w:rPr>
          <w:rFonts w:ascii="Courier New" w:cs="Courier New" w:eastAsia="Courier New" w:hAnsi="Courier New"/>
          <w:color w:val="2E2E2E"/>
          <w:sz w:val="18"/>
          <w:szCs w:val="18"/>
        </w:rPr>
        <w:t xml:space="preserve">  "token_type": "Bearer",</w:t>
      </w:r>
    </w:p>
    <w:p>
      <w:pPr>
        <w:spacing w:before="40" w:after="40"/>
        <w:ind w:left="500"/>
      </w:pPr>
      <w:r>
        <w:rPr>
          <w:rFonts w:ascii="Courier New" w:cs="Courier New" w:eastAsia="Courier New" w:hAnsi="Courier New"/>
          <w:color w:val="2E2E2E"/>
          <w:sz w:val="18"/>
          <w:szCs w:val="18"/>
        </w:rPr>
        <w:t xml:space="preserve">  "expires_in": 3600,</w:t>
      </w:r>
    </w:p>
    <w:p>
      <w:pPr>
        <w:spacing w:before="40" w:after="40"/>
        <w:ind w:left="500"/>
      </w:pPr>
      <w:r>
        <w:rPr>
          <w:rFonts w:ascii="Courier New" w:cs="Courier New" w:eastAsia="Courier New" w:hAnsi="Courier New"/>
          <w:color w:val="2E2E2E"/>
          <w:sz w:val="18"/>
          <w:szCs w:val="18"/>
        </w:rPr>
        <w:t xml:space="preserve">  "refresh_token": "dGhpcyBpcyBhIHJlZnJlc2ggdG9rZW4...",</w:t>
      </w:r>
    </w:p>
    <w:p>
      <w:pPr>
        <w:spacing w:before="40" w:after="40"/>
        <w:ind w:left="500"/>
      </w:pPr>
      <w:r>
        <w:rPr>
          <w:rFonts w:ascii="Courier New" w:cs="Courier New" w:eastAsia="Courier New" w:hAnsi="Courier New"/>
          <w:color w:val="2E2E2E"/>
          <w:sz w:val="18"/>
          <w:szCs w:val="18"/>
        </w:rPr>
        <w:t xml:space="preserve">  "scope": "read write"</w:t>
      </w:r>
    </w:p>
    <w:p>
      <w:pPr>
        <w:spacing w:before="40" w:after="40"/>
        <w:ind w:left="500"/>
      </w:pPr>
      <w:r>
        <w:rPr>
          <w:rFonts w:ascii="Courier New" w:cs="Courier New" w:eastAsia="Courier New" w:hAnsi="Courier New"/>
          <w:color w:val="2E2E2E"/>
          <w:sz w:val="18"/>
          <w:szCs w:val="18"/>
        </w:rPr>
        <w:t xml:space="preserve">}</w:t>
      </w:r>
    </w:p>
    <w:p>
      <w:pPr>
        <w:spacing w:before="80" w:after="0"/>
      </w:pPr>
    </w:p>
    <w:p>
      <w:pPr>
        <w:spacing w:before="180" w:after="60"/>
      </w:pPr>
      <w:r>
        <w:rPr>
          <w:rFonts w:ascii="Arial" w:cs="Arial" w:eastAsia="Arial" w:hAnsi="Arial"/>
          <w:b/>
          <w:bCs/>
          <w:color w:val="1F3864"/>
          <w:sz w:val="22"/>
          <w:szCs w:val="22"/>
        </w:rPr>
        <w:t xml:space="preserve">Refresh Access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5760"/>
            <w:shd w:fill="1F3864"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Method</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POST</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Endpoint</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/api/v2/auth/token/refresh</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Authentication</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Existing refresh token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Content-Type</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application/x-www-form-urlencoded</w:t>
            </w:r>
          </w:p>
        </w:tc>
      </w:tr>
    </w:tbl>
    <w:p>
      <w:pPr>
        <w:spacing w:before="80" w:after="0"/>
      </w:pPr>
    </w:p>
    <w:p>
      <w:pPr>
        <w:spacing w:before="140" w:after="40"/>
      </w:pPr>
      <w:r>
        <w:rPr>
          <w:rFonts w:ascii="Arial" w:cs="Arial" w:eastAsia="Arial" w:hAnsi="Arial"/>
          <w:b/>
          <w:bCs/>
          <w:color w:val="2E5F9A"/>
          <w:sz w:val="20"/>
          <w:szCs w:val="20"/>
        </w:rPr>
        <w:t xml:space="preserve">Request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5760"/>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grant_type</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Required. Must be set to refresh_token.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refresh_token</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Required. The refresh token returned in the original token response.</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client_id</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Required. Your application's client ID.</w:t>
            </w:r>
          </w:p>
        </w:tc>
      </w:tr>
    </w:tbl>
    <w:p>
      <w:pPr>
        <w:spacing w:before="80" w:after="0"/>
      </w:pPr>
    </w:p>
    <w:p>
      <w:pPr>
        <w:spacing w:before="180" w:after="60"/>
      </w:pPr>
      <w:r>
        <w:rPr>
          <w:rFonts w:ascii="Arial" w:cs="Arial" w:eastAsia="Arial" w:hAnsi="Arial"/>
          <w:b/>
          <w:bCs/>
          <w:color w:val="1F3864"/>
          <w:sz w:val="22"/>
          <w:szCs w:val="22"/>
        </w:rPr>
        <w:t xml:space="preserve">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val="clear"/>
            <w:tcMar>
              <w:top w:type="dxa" w:w="80"/>
              <w:left w:type="dxa" w:w="120"/>
              <w:bottom w:type="dxa" w:w="80"/>
              <w:right w:type="dxa" w:w="120"/>
            </w:tcMar>
          </w:tcPr>
          <w:p>
            <w:r>
              <w:rPr>
                <w:rFonts w:ascii="Arial" w:cs="Arial" w:eastAsia="Arial" w:hAnsi="Arial"/>
                <w:b/>
                <w:bCs/>
                <w:color w:val="FFFFFF"/>
                <w:sz w:val="19"/>
                <w:szCs w:val="19"/>
              </w:rPr>
              <w:t xml:space="preserve">HTTP Status</w:t>
            </w:r>
          </w:p>
        </w:tc>
        <w:tc>
          <w:tcPr>
            <w:tcW w:type="dxa" w:w="5760"/>
            <w:shd w:fill="1F3864" w:val="clear"/>
            <w:tcMar>
              <w:top w:type="dxa" w:w="80"/>
              <w:left w:type="dxa" w:w="120"/>
              <w:bottom w:type="dxa" w:w="80"/>
              <w:right w:type="dxa" w:w="120"/>
            </w:tcMar>
          </w:tcPr>
          <w:p>
            <w:r>
              <w:rPr>
                <w:rFonts w:ascii="Arial" w:cs="Arial" w:eastAsia="Arial" w:hAnsi="Arial"/>
                <w:b/>
                <w:bCs/>
                <w:color w:val="FFFFFF"/>
                <w:sz w:val="19"/>
                <w:szCs w:val="19"/>
              </w:rPr>
              <w:t xml:space="preserve">Error Code  |  Description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400 Bad Request</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invalid_request  |  Missing or malformed required parameter.</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401 Unauthorized</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invalid_client  |  client_id or client_secret is invalid or does not match.</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401 Unauthorized</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invalid_token  |  The refresh token is expired, revoked, or invalid.</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403 Forbidden</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insufficient_scope  |  The requested scope exceeds the permissions granted to your application.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429 Too Many Requests</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rate_limit_exceeded  |  Token generation requests are limited to 10 per minute per client_id.</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500 Internal Server Error</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server_error  |  Unexpected error. Retry after 30 seconds. Contact support if the issue persists.</w:t>
            </w:r>
          </w:p>
        </w:tc>
      </w:tr>
    </w:tbl>
    <w:p>
      <w:pPr>
        <w:spacing w:before="80" w:after="0"/>
      </w:pPr>
    </w:p>
    <w:p>
      <w:pPr>
        <w:pBdr>
          <w:left w:val="single" w:color="2E5F9A" w:sz="12" w:space="10"/>
        </w:pBdr>
        <w:spacing w:before="100" w:after="100"/>
        <w:ind w:left="500" w:right="500"/>
      </w:pPr>
      <w:r>
        <w:rPr>
          <w:rFonts w:ascii="Arial" w:cs="Arial" w:eastAsia="Arial" w:hAnsi="Arial"/>
          <w:b/>
          <w:bCs/>
          <w:color w:val="2E5F9A"/>
          <w:sz w:val="20"/>
          <w:szCs w:val="20"/>
        </w:rPr>
        <w:t xml:space="preserve">Best Practice:  </w:t>
      </w:r>
      <w:r>
        <w:rPr>
          <w:rFonts w:ascii="Arial" w:cs="Arial" w:eastAsia="Arial" w:hAnsi="Arial"/>
          <w:color w:val="595959"/>
          <w:sz w:val="20"/>
          <w:szCs w:val="20"/>
        </w:rPr>
        <w:t xml:space="preserve">Implement token refresh proactively — refresh the access token when approximately 10 minutes remain before expiry rather than waiting for a 401 response. This prevents failed API calls during active sessions.</w:t>
      </w:r>
    </w:p>
    <w:p>
      <w:r>
        <w:br w:type="page"/>
      </w:r>
    </w:p>
    <w:p>
      <w:pPr>
        <w:spacing w:before="0" w:after="40"/>
      </w:pPr>
      <w:r>
        <w:rPr>
          <w:rFonts w:ascii="Arial" w:cs="Arial" w:eastAsia="Arial" w:hAnsi="Arial"/>
          <w:b/>
          <w:bCs/>
          <w:color w:val="1F3864"/>
          <w:sz w:val="20"/>
          <w:szCs w:val="20"/>
        </w:rPr>
        <w:t xml:space="preserve">WRITING SAMPLE 3  </w:t>
      </w:r>
      <w:r>
        <w:rPr>
          <w:rFonts w:ascii="Arial" w:cs="Arial" w:eastAsia="Arial" w:hAnsi="Arial"/>
          <w:i/>
          <w:iCs/>
          <w:color w:val="595959"/>
          <w:sz w:val="20"/>
          <w:szCs w:val="20"/>
        </w:rPr>
        <w:t xml:space="preserve">—  Enterprise Software Release Notes — Platform v3.1</w:t>
      </w:r>
    </w:p>
    <w:p>
      <w:pPr>
        <w:spacing w:before="0" w:after="100"/>
      </w:pPr>
      <w:r>
        <w:rPr>
          <w:rFonts w:ascii="Arial" w:cs="Arial" w:eastAsia="Arial" w:hAnsi="Arial"/>
          <w:b/>
          <w:bCs/>
          <w:color w:val="2E5F9A"/>
          <w:sz w:val="19"/>
          <w:szCs w:val="19"/>
        </w:rPr>
        <w:t xml:space="preserve">Skills demonstrated: </w:t>
      </w:r>
      <w:r>
        <w:rPr>
          <w:rFonts w:ascii="Arial" w:cs="Arial" w:eastAsia="Arial" w:hAnsi="Arial"/>
          <w:i/>
          <w:iCs/>
          <w:color w:val="595959"/>
          <w:sz w:val="19"/>
          <w:szCs w:val="19"/>
        </w:rPr>
        <w:t xml:space="preserve">Release note production  |  Multi-audience writing  |  Rapid release cycle documentation  |  AI workflow</w:t>
      </w:r>
    </w:p>
    <w:p>
      <w:pPr>
        <w:pBdr>
          <w:bottom w:val="single" w:color="2E5F9A" w:sz="6" w:space="2"/>
        </w:pBdr>
        <w:spacing w:before="200" w:after="100"/>
      </w:pPr>
      <w:r>
        <w:rPr>
          <w:rFonts w:ascii="Arial" w:cs="Arial" w:eastAsia="Arial" w:hAnsi="Arial"/>
          <w:b/>
          <w:bCs/>
          <w:color w:val="1F3864"/>
          <w:sz w:val="26"/>
          <w:szCs w:val="26"/>
        </w:rPr>
        <w:t xml:space="preserve">PLATFORM RELEASE NOTES — VERSION 3.1</w:t>
      </w:r>
    </w:p>
    <w:p>
      <w:pPr>
        <w:spacing w:before="60" w:after="60"/>
      </w:pPr>
      <w:r>
        <w:rPr>
          <w:rFonts w:ascii="Arial" w:cs="Arial" w:eastAsia="Arial" w:hAnsi="Arial"/>
          <w:b/>
          <w:bCs/>
          <w:color w:val="2E5F9A"/>
          <w:sz w:val="20"/>
          <w:szCs w:val="20"/>
        </w:rPr>
        <w:t xml:space="preserve">Product: </w:t>
      </w:r>
      <w:r>
        <w:rPr>
          <w:rFonts w:ascii="Arial" w:cs="Arial" w:eastAsia="Arial" w:hAnsi="Arial"/>
          <w:i/>
          <w:iCs/>
          <w:color w:val="595959"/>
          <w:sz w:val="20"/>
          <w:szCs w:val="20"/>
        </w:rPr>
        <w:t xml:space="preserve">Enterprise IT &amp; Compliance Management Platform</w:t>
      </w:r>
    </w:p>
    <w:p>
      <w:pPr>
        <w:spacing w:before="60" w:after="60"/>
      </w:pPr>
      <w:r>
        <w:rPr>
          <w:rFonts w:ascii="Arial" w:cs="Arial" w:eastAsia="Arial" w:hAnsi="Arial"/>
          <w:b/>
          <w:bCs/>
          <w:color w:val="2E5F9A"/>
          <w:sz w:val="20"/>
          <w:szCs w:val="20"/>
        </w:rPr>
        <w:t xml:space="preserve">Release Date: </w:t>
      </w:r>
      <w:r>
        <w:rPr>
          <w:rFonts w:ascii="Arial" w:cs="Arial" w:eastAsia="Arial" w:hAnsi="Arial"/>
          <w:i/>
          <w:iCs/>
          <w:color w:val="595959"/>
          <w:sz w:val="20"/>
          <w:szCs w:val="20"/>
        </w:rPr>
        <w:t xml:space="preserve">Q1 2025</w:t>
      </w:r>
    </w:p>
    <w:p>
      <w:pPr>
        <w:spacing w:before="60" w:after="60"/>
      </w:pPr>
      <w:r>
        <w:rPr>
          <w:rFonts w:ascii="Arial" w:cs="Arial" w:eastAsia="Arial" w:hAnsi="Arial"/>
          <w:b/>
          <w:bCs/>
          <w:color w:val="2E5F9A"/>
          <w:sz w:val="20"/>
          <w:szCs w:val="20"/>
        </w:rPr>
        <w:t xml:space="preserve">Audiences: </w:t>
      </w:r>
      <w:r>
        <w:rPr>
          <w:rFonts w:ascii="Arial" w:cs="Arial" w:eastAsia="Arial" w:hAnsi="Arial"/>
          <w:i/>
          <w:iCs/>
          <w:color w:val="595959"/>
          <w:sz w:val="20"/>
          <w:szCs w:val="20"/>
        </w:rPr>
        <w:t xml:space="preserve">End users (non-technical)  |  IT administrators  |  Developer / integration partners</w:t>
      </w:r>
    </w:p>
    <w:p>
      <w:pPr>
        <w:spacing w:before="60" w:after="60"/>
      </w:pPr>
      <w:r>
        <w:rPr>
          <w:rFonts w:ascii="Arial" w:cs="Arial" w:eastAsia="Arial" w:hAnsi="Arial"/>
          <w:b/>
          <w:bCs/>
          <w:color w:val="2E5F9A"/>
          <w:sz w:val="20"/>
          <w:szCs w:val="20"/>
        </w:rPr>
        <w:t xml:space="preserve">Background: </w:t>
      </w:r>
      <w:r>
        <w:rPr>
          <w:rFonts w:ascii="Arial" w:cs="Arial" w:eastAsia="Arial" w:hAnsi="Arial"/>
          <w:i/>
          <w:iCs/>
          <w:color w:val="595959"/>
          <w:sz w:val="20"/>
          <w:szCs w:val="20"/>
        </w:rPr>
        <w:t xml:space="preserve">Produced during a contract engagement supporting a regulated financial services organization operating in an Agile delivery environment with two-week sprint release cycles.</w:t>
      </w:r>
    </w:p>
    <w:p>
      <w:pPr>
        <w:spacing w:before="60" w:after="60"/>
      </w:pPr>
      <w:r>
        <w:rPr>
          <w:rFonts w:ascii="Arial" w:cs="Arial" w:eastAsia="Arial" w:hAnsi="Arial"/>
          <w:b/>
          <w:bCs/>
          <w:color w:val="2E5F9A"/>
          <w:sz w:val="20"/>
          <w:szCs w:val="20"/>
        </w:rPr>
        <w:t xml:space="preserve">AI Workflow Note: </w:t>
      </w:r>
      <w:r>
        <w:rPr>
          <w:rFonts w:ascii="Arial" w:cs="Arial" w:eastAsia="Arial" w:hAnsi="Arial"/>
          <w:i/>
          <w:iCs/>
          <w:color w:val="595959"/>
          <w:sz w:val="20"/>
          <w:szCs w:val="20"/>
        </w:rPr>
        <w:t xml:space="preserve">First draft of new feature and resolved issue bullets generated using Claude AI from Jira release tickets, sprint notes, and engineer Slack summaries; release notes reviewed, restructured, and finalized by the author for accuracy, clarity, and multi-audience appropriateness</w:t>
      </w:r>
    </w:p>
    <w:p>
      <w:pPr>
        <w:spacing w:before="80" w:after="0"/>
      </w:pPr>
    </w:p>
    <w:p>
      <w:pPr>
        <w:spacing w:before="180" w:after="60"/>
      </w:pPr>
      <w:r>
        <w:rPr>
          <w:rFonts w:ascii="Arial" w:cs="Arial" w:eastAsia="Arial" w:hAnsi="Arial"/>
          <w:b/>
          <w:bCs/>
          <w:color w:val="1F3864"/>
          <w:sz w:val="22"/>
          <w:szCs w:val="22"/>
        </w:rPr>
        <w:t xml:space="preserve">Release Summary</w:t>
      </w:r>
    </w:p>
    <w:p>
      <w:pPr>
        <w:spacing w:before="60" w:after="60"/>
      </w:pPr>
      <w:r>
        <w:rPr>
          <w:rFonts w:ascii="Arial" w:cs="Arial" w:eastAsia="Arial" w:hAnsi="Arial"/>
          <w:color w:val="000000"/>
          <w:sz w:val="20"/>
          <w:szCs w:val="20"/>
        </w:rPr>
        <w:t xml:space="preserve">Version 3.1 delivers enhancements to the user access management module, expanded API capabilities for third-party integrations, and performance improvements to the compliance reporting dashboard. This release also resolves several issues reported by customers following the v3.0 deployment.</w:t>
      </w:r>
    </w:p>
    <w:p>
      <w:pPr>
        <w:pBdr>
          <w:left w:val="single" w:color="2E5F9A" w:sz="12" w:space="10"/>
        </w:pBdr>
        <w:spacing w:before="100" w:after="100"/>
        <w:ind w:left="500" w:right="500"/>
      </w:pPr>
      <w:r>
        <w:rPr>
          <w:rFonts w:ascii="Arial" w:cs="Arial" w:eastAsia="Arial" w:hAnsi="Arial"/>
          <w:b/>
          <w:bCs/>
          <w:color w:val="2E5F9A"/>
          <w:sz w:val="20"/>
          <w:szCs w:val="20"/>
        </w:rPr>
        <w:t xml:space="preserve">Action Required for Administrators:  </w:t>
      </w:r>
      <w:r>
        <w:rPr>
          <w:rFonts w:ascii="Arial" w:cs="Arial" w:eastAsia="Arial" w:hAnsi="Arial"/>
          <w:color w:val="595959"/>
          <w:sz w:val="20"/>
          <w:szCs w:val="20"/>
        </w:rPr>
        <w:t xml:space="preserve">The legacy user provisioning workflow has been replaced in this release. Administrators must complete the one-time migration to the new provisioning module before March 31, 2025. See User Provisioning Migration below for instructions.</w:t>
      </w:r>
    </w:p>
    <w:p>
      <w:pPr>
        <w:spacing w:before="180" w:after="60"/>
      </w:pPr>
      <w:r>
        <w:rPr>
          <w:rFonts w:ascii="Arial" w:cs="Arial" w:eastAsia="Arial" w:hAnsi="Arial"/>
          <w:b/>
          <w:bCs/>
          <w:color w:val="1F3864"/>
          <w:sz w:val="22"/>
          <w:szCs w:val="22"/>
        </w:rPr>
        <w:t xml:space="preserve">What's New</w:t>
      </w:r>
    </w:p>
    <w:p>
      <w:pPr>
        <w:spacing w:before="140" w:after="40"/>
      </w:pPr>
      <w:r>
        <w:rPr>
          <w:rFonts w:ascii="Arial" w:cs="Arial" w:eastAsia="Arial" w:hAnsi="Arial"/>
          <w:b/>
          <w:bCs/>
          <w:color w:val="2E5F9A"/>
          <w:sz w:val="20"/>
          <w:szCs w:val="20"/>
        </w:rPr>
        <w:t xml:space="preserve">Enhanced User Access Management</w:t>
      </w:r>
    </w:p>
    <w:p>
      <w:pPr>
        <w:spacing w:before="60" w:after="60"/>
      </w:pPr>
      <w:r>
        <w:rPr>
          <w:rFonts w:ascii="Arial" w:cs="Arial" w:eastAsia="Arial" w:hAnsi="Arial"/>
          <w:color w:val="000000"/>
          <w:sz w:val="20"/>
          <w:szCs w:val="20"/>
        </w:rPr>
        <w:t xml:space="preserve">The user access management module has been redesigned to streamline provisioning, role assignment, and access review workflows for IT administrators.</w:t>
      </w:r>
    </w:p>
    <w:p>
      <w:pPr>
        <w:pStyle w:val="ListParagraph"/>
        <w:numPr>
          <w:ilvl w:val="0"/>
          <w:numId w:val="3"/>
        </w:numPr>
        <w:spacing w:before="40" w:after="40"/>
      </w:pPr>
      <w:r>
        <w:rPr>
          <w:rFonts w:ascii="Arial" w:cs="Arial" w:eastAsia="Arial" w:hAnsi="Arial"/>
          <w:color w:val="000000"/>
          <w:sz w:val="20"/>
          <w:szCs w:val="20"/>
        </w:rPr>
        <w:t xml:space="preserve">Administrators can now provision new users and assign roles in a single workflow — previously a two-step process requiring separate screens.</w:t>
      </w:r>
    </w:p>
    <w:p>
      <w:pPr>
        <w:pStyle w:val="ListParagraph"/>
        <w:numPr>
          <w:ilvl w:val="0"/>
          <w:numId w:val="3"/>
        </w:numPr>
        <w:spacing w:before="40" w:after="40"/>
      </w:pPr>
      <w:r>
        <w:rPr>
          <w:rFonts w:ascii="Arial" w:cs="Arial" w:eastAsia="Arial" w:hAnsi="Arial"/>
          <w:color w:val="000000"/>
          <w:sz w:val="20"/>
          <w:szCs w:val="20"/>
        </w:rPr>
        <w:t xml:space="preserve">Role assignment now supports bulk actions: select multiple users and assign or remove roles in a single operation.</w:t>
      </w:r>
    </w:p>
    <w:p>
      <w:pPr>
        <w:pStyle w:val="ListParagraph"/>
        <w:numPr>
          <w:ilvl w:val="0"/>
          <w:numId w:val="3"/>
        </w:numPr>
        <w:spacing w:before="40" w:after="40"/>
      </w:pPr>
      <w:r>
        <w:rPr>
          <w:rFonts w:ascii="Arial" w:cs="Arial" w:eastAsia="Arial" w:hAnsi="Arial"/>
          <w:color w:val="000000"/>
          <w:sz w:val="20"/>
          <w:szCs w:val="20"/>
        </w:rPr>
        <w:t xml:space="preserve">Automated access review reminders notify managers when direct report access reviews are due, based on your organization's configured review cycle.</w:t>
      </w:r>
    </w:p>
    <w:p>
      <w:pPr>
        <w:pStyle w:val="ListParagraph"/>
        <w:numPr>
          <w:ilvl w:val="0"/>
          <w:numId w:val="3"/>
        </w:numPr>
        <w:spacing w:before="40" w:after="40"/>
      </w:pPr>
      <w:r>
        <w:rPr>
          <w:rFonts w:ascii="Arial" w:cs="Arial" w:eastAsia="Arial" w:hAnsi="Arial"/>
          <w:color w:val="000000"/>
          <w:sz w:val="20"/>
          <w:szCs w:val="20"/>
        </w:rPr>
        <w:t xml:space="preserve">Access review completion status is now visible in the compliance reporting dashboard.</w:t>
      </w:r>
    </w:p>
    <w:p>
      <w:pPr>
        <w:spacing w:before="140" w:after="40"/>
      </w:pPr>
      <w:r>
        <w:rPr>
          <w:rFonts w:ascii="Arial" w:cs="Arial" w:eastAsia="Arial" w:hAnsi="Arial"/>
          <w:b/>
          <w:bCs/>
          <w:color w:val="2E5F9A"/>
          <w:sz w:val="20"/>
          <w:szCs w:val="20"/>
        </w:rPr>
        <w:t xml:space="preserve">API v2 — New Endpoints</w:t>
      </w:r>
    </w:p>
    <w:p>
      <w:pPr>
        <w:spacing w:before="60" w:after="60"/>
      </w:pPr>
      <w:r>
        <w:rPr>
          <w:rFonts w:ascii="Arial" w:cs="Arial" w:eastAsia="Arial" w:hAnsi="Arial"/>
          <w:color w:val="000000"/>
          <w:sz w:val="20"/>
          <w:szCs w:val="20"/>
        </w:rPr>
        <w:t xml:space="preserve">Two new endpoints are available in API v2 for integration partners and developer teams.</w:t>
      </w:r>
    </w:p>
    <w:p>
      <w:pPr>
        <w:pStyle w:val="ListParagraph"/>
        <w:numPr>
          <w:ilvl w:val="0"/>
          <w:numId w:val="3"/>
        </w:numPr>
        <w:spacing w:before="40" w:after="40"/>
      </w:pPr>
      <w:r>
        <w:rPr>
          <w:rFonts w:ascii="Arial" w:cs="Arial" w:eastAsia="Arial" w:hAnsi="Arial"/>
          <w:color w:val="000000"/>
          <w:sz w:val="20"/>
          <w:szCs w:val="20"/>
        </w:rPr>
        <w:t xml:space="preserve">GET /api/v2/users/{user_id}/roles — Returns all roles and permissions assigned to a specified user.</w:t>
      </w:r>
    </w:p>
    <w:p>
      <w:pPr>
        <w:pStyle w:val="ListParagraph"/>
        <w:numPr>
          <w:ilvl w:val="0"/>
          <w:numId w:val="3"/>
        </w:numPr>
        <w:spacing w:before="40" w:after="40"/>
      </w:pPr>
      <w:r>
        <w:rPr>
          <w:rFonts w:ascii="Arial" w:cs="Arial" w:eastAsia="Arial" w:hAnsi="Arial"/>
          <w:color w:val="000000"/>
          <w:sz w:val="20"/>
          <w:szCs w:val="20"/>
        </w:rPr>
        <w:t xml:space="preserve">POST /api/v2/users/bulk-provision — Supports bulk user provisioning from a structured JSON payload. See API documentation in the Developer Portal for schema details.</w:t>
      </w:r>
    </w:p>
    <w:p>
      <w:pPr>
        <w:spacing w:before="140" w:after="40"/>
      </w:pPr>
      <w:r>
        <w:rPr>
          <w:rFonts w:ascii="Arial" w:cs="Arial" w:eastAsia="Arial" w:hAnsi="Arial"/>
          <w:b/>
          <w:bCs/>
          <w:color w:val="2E5F9A"/>
          <w:sz w:val="20"/>
          <w:szCs w:val="20"/>
        </w:rPr>
        <w:t xml:space="preserve">Compliance Reporting Dashboard — Performance Improvements</w:t>
      </w:r>
    </w:p>
    <w:p>
      <w:pPr>
        <w:pStyle w:val="ListParagraph"/>
        <w:numPr>
          <w:ilvl w:val="0"/>
          <w:numId w:val="3"/>
        </w:numPr>
        <w:spacing w:before="40" w:after="40"/>
      </w:pPr>
      <w:r>
        <w:rPr>
          <w:rFonts w:ascii="Arial" w:cs="Arial" w:eastAsia="Arial" w:hAnsi="Arial"/>
          <w:color w:val="000000"/>
          <w:sz w:val="20"/>
          <w:szCs w:val="20"/>
        </w:rPr>
        <w:t xml:space="preserve">Dashboard load time reduced by approximately 35% for organizations with more than 500 active users.</w:t>
      </w:r>
    </w:p>
    <w:p>
      <w:pPr>
        <w:pStyle w:val="ListParagraph"/>
        <w:numPr>
          <w:ilvl w:val="0"/>
          <w:numId w:val="3"/>
        </w:numPr>
        <w:spacing w:before="40" w:after="40"/>
      </w:pPr>
      <w:r>
        <w:rPr>
          <w:rFonts w:ascii="Arial" w:cs="Arial" w:eastAsia="Arial" w:hAnsi="Arial"/>
          <w:color w:val="000000"/>
          <w:sz w:val="20"/>
          <w:szCs w:val="20"/>
        </w:rPr>
        <w:t xml:space="preserve">Report export now runs as a background job — users receive an email notification with a download link when the export is ready, eliminating timeout errors for large reports.</w:t>
      </w:r>
    </w:p>
    <w:p>
      <w:pPr>
        <w:pStyle w:val="ListParagraph"/>
        <w:numPr>
          <w:ilvl w:val="0"/>
          <w:numId w:val="3"/>
        </w:numPr>
        <w:spacing w:before="40" w:after="40"/>
      </w:pPr>
      <w:r>
        <w:rPr>
          <w:rFonts w:ascii="Arial" w:cs="Arial" w:eastAsia="Arial" w:hAnsi="Arial"/>
          <w:color w:val="000000"/>
          <w:sz w:val="20"/>
          <w:szCs w:val="20"/>
        </w:rPr>
        <w:t xml:space="preserve">Added a new Overdue Access Reviews widget to the dashboard home screen for quick visibility into outstanding review items.</w:t>
      </w:r>
    </w:p>
    <w:p>
      <w:pPr>
        <w:spacing w:before="180" w:after="60"/>
      </w:pPr>
      <w:r>
        <w:rPr>
          <w:rFonts w:ascii="Arial" w:cs="Arial" w:eastAsia="Arial" w:hAnsi="Arial"/>
          <w:b/>
          <w:bCs/>
          <w:color w:val="1F3864"/>
          <w:sz w:val="22"/>
          <w:szCs w:val="22"/>
        </w:rPr>
        <w:t xml:space="preserve">Changes &amp; Updates</w:t>
      </w:r>
    </w:p>
    <w:p>
      <w:pPr>
        <w:spacing w:before="140" w:after="40"/>
      </w:pPr>
      <w:r>
        <w:rPr>
          <w:rFonts w:ascii="Arial" w:cs="Arial" w:eastAsia="Arial" w:hAnsi="Arial"/>
          <w:b/>
          <w:bCs/>
          <w:color w:val="2E5F9A"/>
          <w:sz w:val="20"/>
          <w:szCs w:val="20"/>
        </w:rPr>
        <w:t xml:space="preserve">User Provisioning Migration</w:t>
      </w:r>
    </w:p>
    <w:p>
      <w:pPr>
        <w:spacing w:before="60" w:after="60"/>
      </w:pPr>
      <w:r>
        <w:rPr>
          <w:rFonts w:ascii="Arial" w:cs="Arial" w:eastAsia="Arial" w:hAnsi="Arial"/>
          <w:color w:val="000000"/>
          <w:sz w:val="20"/>
          <w:szCs w:val="20"/>
        </w:rPr>
        <w:t xml:space="preserve">The legacy provisioning workflow (/admin/users/provision) has been replaced by the new Access Management module. The legacy workflow will be removed in v4.0.</w:t>
      </w:r>
    </w:p>
    <w:p>
      <w:pPr>
        <w:pStyle w:val="ListParagraph"/>
        <w:numPr>
          <w:ilvl w:val="0"/>
          <w:numId w:val="3"/>
        </w:numPr>
        <w:spacing w:before="40" w:after="40"/>
      </w:pPr>
      <w:r>
        <w:rPr>
          <w:rFonts w:ascii="Arial" w:cs="Arial" w:eastAsia="Arial" w:hAnsi="Arial"/>
          <w:color w:val="000000"/>
          <w:sz w:val="20"/>
          <w:szCs w:val="20"/>
        </w:rPr>
        <w:t xml:space="preserve">Administrators should complete provisioning migration before March 31, 2025.</w:t>
      </w:r>
    </w:p>
    <w:p>
      <w:pPr>
        <w:pStyle w:val="ListParagraph"/>
        <w:numPr>
          <w:ilvl w:val="0"/>
          <w:numId w:val="3"/>
        </w:numPr>
        <w:spacing w:before="40" w:after="40"/>
      </w:pPr>
      <w:r>
        <w:rPr>
          <w:rFonts w:ascii="Arial" w:cs="Arial" w:eastAsia="Arial" w:hAnsi="Arial"/>
          <w:color w:val="000000"/>
          <w:sz w:val="20"/>
          <w:szCs w:val="20"/>
        </w:rPr>
        <w:t xml:space="preserve">A migration guide is available in the Help Center under Administration &gt; User Provisioning Migration.</w:t>
      </w:r>
    </w:p>
    <w:p>
      <w:pPr>
        <w:pStyle w:val="ListParagraph"/>
        <w:numPr>
          <w:ilvl w:val="0"/>
          <w:numId w:val="3"/>
        </w:numPr>
        <w:spacing w:before="40" w:after="40"/>
      </w:pPr>
      <w:r>
        <w:rPr>
          <w:rFonts w:ascii="Arial" w:cs="Arial" w:eastAsia="Arial" w:hAnsi="Arial"/>
          <w:color w:val="000000"/>
          <w:sz w:val="20"/>
          <w:szCs w:val="20"/>
        </w:rPr>
        <w:t xml:space="preserve">Contact your customer success manager if you need assistance with the migration.</w:t>
      </w:r>
    </w:p>
    <w:p>
      <w:pPr>
        <w:spacing w:before="140" w:after="40"/>
      </w:pPr>
      <w:r>
        <w:rPr>
          <w:rFonts w:ascii="Arial" w:cs="Arial" w:eastAsia="Arial" w:hAnsi="Arial"/>
          <w:b/>
          <w:bCs/>
          <w:color w:val="2E5F9A"/>
          <w:sz w:val="20"/>
          <w:szCs w:val="20"/>
        </w:rPr>
        <w:t xml:space="preserve">Updated: Password Policy Enforcement</w:t>
      </w:r>
    </w:p>
    <w:p>
      <w:pPr>
        <w:pStyle w:val="ListParagraph"/>
        <w:numPr>
          <w:ilvl w:val="0"/>
          <w:numId w:val="3"/>
        </w:numPr>
        <w:spacing w:before="40" w:after="40"/>
      </w:pPr>
      <w:r>
        <w:rPr>
          <w:rFonts w:ascii="Arial" w:cs="Arial" w:eastAsia="Arial" w:hAnsi="Arial"/>
          <w:color w:val="000000"/>
          <w:sz w:val="20"/>
          <w:szCs w:val="20"/>
        </w:rPr>
        <w:t xml:space="preserve">Minimum password length increased from 10 to 12 characters, effective for all new password resets following this release.</w:t>
      </w:r>
    </w:p>
    <w:p>
      <w:pPr>
        <w:pStyle w:val="ListParagraph"/>
        <w:numPr>
          <w:ilvl w:val="0"/>
          <w:numId w:val="3"/>
        </w:numPr>
        <w:spacing w:before="40" w:after="40"/>
      </w:pPr>
      <w:r>
        <w:rPr>
          <w:rFonts w:ascii="Arial" w:cs="Arial" w:eastAsia="Arial" w:hAnsi="Arial"/>
          <w:color w:val="000000"/>
          <w:sz w:val="20"/>
          <w:szCs w:val="20"/>
        </w:rPr>
        <w:t xml:space="preserve">Users whose current passwords do not meet the updated policy will be prompted to reset at next login.</w:t>
      </w:r>
    </w:p>
    <w:p>
      <w:pPr>
        <w:pStyle w:val="ListParagraph"/>
        <w:numPr>
          <w:ilvl w:val="0"/>
          <w:numId w:val="3"/>
        </w:numPr>
        <w:spacing w:before="40" w:after="40"/>
      </w:pPr>
      <w:r>
        <w:rPr>
          <w:rFonts w:ascii="Arial" w:cs="Arial" w:eastAsia="Arial" w:hAnsi="Arial"/>
          <w:color w:val="000000"/>
          <w:sz w:val="20"/>
          <w:szCs w:val="20"/>
        </w:rPr>
        <w:t xml:space="preserve">Administrators can view password policy compliance status under Settings &gt; Security &gt; Password Policy.</w:t>
      </w:r>
    </w:p>
    <w:p>
      <w:pPr>
        <w:spacing w:before="180" w:after="60"/>
      </w:pPr>
      <w:r>
        <w:rPr>
          <w:rFonts w:ascii="Arial" w:cs="Arial" w:eastAsia="Arial" w:hAnsi="Arial"/>
          <w:b/>
          <w:bCs/>
          <w:color w:val="1F3864"/>
          <w:sz w:val="22"/>
          <w:szCs w:val="22"/>
        </w:rPr>
        <w:t xml:space="preserve">Resolved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1F3864"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5760"/>
            <w:shd w:fill="1F3864" w:val="clear"/>
            <w:tcMar>
              <w:top w:type="dxa" w:w="80"/>
              <w:left w:type="dxa" w:w="120"/>
              <w:bottom w:type="dxa" w:w="80"/>
              <w:right w:type="dxa" w:w="120"/>
            </w:tcMar>
          </w:tcPr>
          <w:p>
            <w:r>
              <w:rPr>
                <w:rFonts w:ascii="Arial" w:cs="Arial" w:eastAsia="Arial" w:hAnsi="Arial"/>
                <w:b/>
                <w:bCs/>
                <w:color w:val="FFFFFF"/>
                <w:sz w:val="19"/>
                <w:szCs w:val="19"/>
              </w:rPr>
              <w:t xml:space="preserve">Resolution</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Compliance report export timed out for organizations with more than 1,000 users</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Resolved. Exports now run as background jobs with email delivery.</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User role assignments were not reflected in audit logs within the expected timeframe</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Resolved. Audit log entries now appear within 60 seconds of role assignment.</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Bulk user import failed silently when CSV contained duplicate email addresses</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Resolved. Import now returns a validation error listing duplicate entries before processing.</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API v1 /users endpoint returned incomplete role data for users with more than 10 assigned roles</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Resolved in API v2. API v1 fix is not planned; migrate to v2 for complete role data.</w:t>
            </w:r>
          </w:p>
        </w:tc>
      </w:tr>
      <w:tr>
        <w:tc>
          <w:tcPr>
            <w:tcW w:type="dxa" w:w="3600"/>
            <w:shd w:fill="F2F4F8" w:val="clear"/>
            <w:tcMar>
              <w:top w:type="dxa" w:w="80"/>
              <w:left w:type="dxa" w:w="120"/>
              <w:bottom w:type="dxa" w:w="80"/>
              <w:right w:type="dxa" w:w="120"/>
            </w:tcMar>
          </w:tcPr>
          <w:p>
            <w:r>
              <w:rPr>
                <w:rFonts w:ascii="Arial" w:cs="Arial" w:eastAsia="Arial" w:hAnsi="Arial"/>
                <w:b w:val="false"/>
                <w:bCs w:val="false"/>
                <w:color w:val="1F3864"/>
                <w:sz w:val="19"/>
                <w:szCs w:val="19"/>
              </w:rPr>
              <w:t xml:space="preserve">Dashboard session timeout did not display a warning before expiring</w:t>
            </w:r>
          </w:p>
        </w:tc>
        <w:tc>
          <w:tcPr>
            <w:tcW w:type="dxa" w:w="5760"/>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Resolved. A 5-minute warning now displays before session expiration.</w:t>
            </w:r>
          </w:p>
        </w:tc>
      </w:tr>
    </w:tbl>
    <w:p>
      <w:pPr>
        <w:spacing w:before="160" w:after="0"/>
      </w:pPr>
    </w:p>
    <w:p>
      <w:pPr>
        <w:spacing w:before="0" w:after="60"/>
        <w:jc w:val="center"/>
      </w:pPr>
      <w:r>
        <w:rPr>
          <w:rFonts w:ascii="Arial" w:cs="Arial" w:eastAsia="Arial" w:hAnsi="Arial"/>
          <w:i/>
          <w:iCs/>
          <w:color w:val="595959"/>
          <w:sz w:val="19"/>
          <w:szCs w:val="19"/>
        </w:rPr>
        <w:t xml:space="preserve">— End of Writing Samples —</w:t>
      </w:r>
    </w:p>
    <w:p>
      <w:pPr>
        <w:spacing w:before="0" w:after="0"/>
        <w:jc w:val="center"/>
      </w:pPr>
      <w:r>
        <w:rPr>
          <w:rFonts w:ascii="Arial" w:cs="Arial" w:eastAsia="Arial" w:hAnsi="Arial"/>
          <w:color w:val="595959"/>
          <w:sz w:val="19"/>
          <w:szCs w:val="19"/>
        </w:rPr>
        <w:t xml:space="preserve">Robin Renee Karim  |  robinrkarim@yahoo.com  |  281-788-2146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2026-03-13T02:12:30.376Z</dcterms:created>
  <dcterms:modified xsi:type="dcterms:W3CDTF">2026-03-13T02:12:30.377Z</dcterms:modified>
</cp:coreProperties>
</file>

<file path=docProps/custom.xml><?xml version="1.0" encoding="utf-8"?>
<Properties xmlns="http://schemas.openxmlformats.org/officeDocument/2006/custom-properties" xmlns:vt="http://schemas.openxmlformats.org/officeDocument/2006/docPropsVTypes"/>
</file>