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pPr>
      <w:r>
        <w:t xml:space="preserve"/>
      </w:r>
    </w:p>
    <w:p>
      <w:pPr>
        <w:spacing w:after="120" w:before="0"/>
        <w:jc w:val="center"/>
      </w:pPr>
      <w:r>
        <w:rPr>
          <w:rFonts w:ascii="Arial" w:cs="Arial" w:eastAsia="Arial" w:hAnsi="Arial"/>
          <w:b/>
          <w:bCs/>
          <w:color w:val="5A6E82"/>
          <w:sz w:val="20"/>
          <w:szCs w:val="20"/>
        </w:rPr>
        <w:t xml:space="preserve">PRODUCT REQUIREMENTS DOCUMENT</w:t>
      </w:r>
    </w:p>
    <w:p>
      <w:pPr>
        <w:spacing w:after="160" w:before="0"/>
        <w:jc w:val="center"/>
      </w:pPr>
      <w:r>
        <w:rPr>
          <w:rFonts w:ascii="Arial" w:cs="Arial" w:eastAsia="Arial" w:hAnsi="Arial"/>
          <w:b/>
          <w:bCs/>
          <w:color w:val="1A3A5C"/>
          <w:sz w:val="52"/>
          <w:szCs w:val="52"/>
        </w:rPr>
        <w:t xml:space="preserve">AI-Powered BIN Procurement Tracker</w:t>
      </w:r>
    </w:p>
    <w:p>
      <w:pPr>
        <w:pBdr>
          <w:bottom w:val="single" w:color="0072CE" w:sz="6"/>
        </w:pBdr>
        <w:spacing w:after="200" w:before="0"/>
        <w:jc w:val="center"/>
      </w:pPr>
    </w:p>
    <w:p>
      <w:pPr>
        <w:spacing w:after="400" w:before="0"/>
        <w:jc w:val="center"/>
      </w:pPr>
      <w:r>
        <w:rPr>
          <w:rFonts w:ascii="Arial" w:cs="Arial" w:eastAsia="Arial" w:hAnsi="Arial"/>
          <w:i/>
          <w:iCs/>
          <w:color w:val="5A6E82"/>
          <w:sz w:val="22"/>
          <w:szCs w:val="22"/>
        </w:rPr>
        <w:t xml:space="preserve">Intelligent project management for New Bank Identification Number (BIN) procurement workflows — from network request through card launch.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rPr>
          <w:tblHeader/>
        </w:trPr>
      </w:tr>
      <w:tr>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Version</w:t>
            </w:r>
          </w:p>
        </w:tc>
        <w:tc>
          <w:tcPr>
            <w:tcW w:type="dxa" w:w="75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1.0</w:t>
            </w:r>
          </w:p>
        </w:tc>
      </w:tr>
      <w:tr>
        <w:tc>
          <w:tcPr>
            <w:tcW w:type="dxa" w:w="252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Date</w:t>
            </w:r>
          </w:p>
        </w:tc>
        <w:tc>
          <w:tcPr>
            <w:tcW w:type="dxa" w:w="756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May 2026</w:t>
            </w:r>
          </w:p>
        </w:tc>
      </w:tr>
      <w:tr>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Author</w:t>
            </w:r>
          </w:p>
        </w:tc>
        <w:tc>
          <w:tcPr>
            <w:tcW w:type="dxa" w:w="75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Robin Khatwani</w:t>
            </w:r>
          </w:p>
        </w:tc>
      </w:tr>
      <w:tr>
        <w:tc>
          <w:tcPr>
            <w:tcW w:type="dxa" w:w="252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Status</w:t>
            </w:r>
          </w:p>
        </w:tc>
        <w:tc>
          <w:tcPr>
            <w:tcW w:type="dxa" w:w="756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Draft</w:t>
            </w:r>
          </w:p>
        </w:tc>
      </w:tr>
      <w:tr>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Domain</w:t>
            </w:r>
          </w:p>
        </w:tc>
        <w:tc>
          <w:tcPr>
            <w:tcW w:type="dxa" w:w="75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Card Payments / FinTech</w:t>
            </w:r>
          </w:p>
        </w:tc>
      </w:tr>
      <w:tr>
        <w:tc>
          <w:tcPr>
            <w:tcW w:type="dxa" w:w="252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Stakeholders</w:t>
            </w:r>
          </w:p>
        </w:tc>
        <w:tc>
          <w:tcPr>
            <w:tcW w:type="dxa" w:w="756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Issuer · Network · Processor · Embosser</w:t>
            </w:r>
          </w:p>
        </w:tc>
      </w:tr>
    </w:tbl>
    <w:p>
      <w:pPr>
        <w:spacing w:after="800" w:before="0"/>
      </w:pPr>
      <w:r>
        <w:t xml:space="preserve"/>
      </w:r>
    </w:p>
    <w:p>
      <w:r>
        <w:br w:type="page"/>
      </w:r>
    </w:p>
    <w:p>
      <w:pPr>
        <w:pStyle w:val="Heading1"/>
        <w:spacing w:after="160" w:before="0"/>
      </w:pPr>
      <w:r>
        <w:rPr>
          <w:rFonts w:ascii="Arial" w:cs="Arial" w:eastAsia="Arial" w:hAnsi="Arial"/>
          <w:b/>
          <w:bCs/>
          <w:color w:val="1A3A5C"/>
          <w:sz w:val="36"/>
          <w:szCs w:val="36"/>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spacing w:after="160" w:before="320"/>
      </w:pPr>
      <w:r>
        <w:rPr>
          <w:rFonts w:ascii="Arial" w:cs="Arial" w:eastAsia="Arial" w:hAnsi="Arial"/>
          <w:b/>
          <w:bCs/>
          <w:color w:val="1A3A5C"/>
          <w:sz w:val="36"/>
          <w:szCs w:val="36"/>
        </w:rPr>
        <w:t xml:space="preserve">1. Problem Definition</w:t>
      </w:r>
    </w:p>
    <w:p>
      <w:pPr>
        <w:pBdr>
          <w:bottom w:val="single" w:color="0072CE" w:sz="4"/>
        </w:pBdr>
        <w:spacing w:after="80" w:before="0"/>
      </w:pPr>
    </w:p>
    <w:p>
      <w:pPr>
        <w:pStyle w:val="Heading2"/>
        <w:spacing w:after="100" w:before="240"/>
      </w:pPr>
      <w:r>
        <w:rPr>
          <w:rFonts w:ascii="Arial" w:cs="Arial" w:eastAsia="Arial" w:hAnsi="Arial"/>
          <w:b/>
          <w:bCs/>
          <w:color w:val="0072CE"/>
          <w:sz w:val="26"/>
          <w:szCs w:val="26"/>
        </w:rPr>
        <w:t xml:space="preserve">Background</w:t>
      </w:r>
    </w:p>
    <w:p>
      <w:pPr>
        <w:spacing w:after="80" w:before="0"/>
        <w:jc w:val="left"/>
      </w:pPr>
      <w:r>
        <w:rPr>
          <w:rFonts w:ascii="Arial" w:cs="Arial" w:eastAsia="Arial" w:hAnsi="Arial"/>
          <w:b w:val="false"/>
          <w:bCs w:val="false"/>
          <w:i w:val="false"/>
          <w:iCs w:val="false"/>
          <w:color w:val="1E2D3D"/>
          <w:sz w:val="20"/>
          <w:szCs w:val="20"/>
        </w:rPr>
        <w:t xml:space="preserve">Launching a new payment card requires procuring a Bank Identification Number (BIN) from the card network (e.g., Mastercard, Visa). This is a complex, multi-party process involving the Issuer (the bank or card company), the Network (scheme provider), the Processor (transaction processor), and the Embosser (card manufacturer). Collectively, these parties must coordinate across 31 sequential and parallel steps spanning approximately 5 months.</w:t>
      </w:r>
    </w:p>
    <w:p>
      <w:pPr>
        <w:spacing w:after="120" w:before="0"/>
      </w:pPr>
      <w:r>
        <w:t xml:space="preserve"/>
      </w:r>
    </w:p>
    <w:p>
      <w:pPr>
        <w:pStyle w:val="Heading2"/>
        <w:spacing w:after="100" w:before="240"/>
      </w:pPr>
      <w:r>
        <w:rPr>
          <w:rFonts w:ascii="Arial" w:cs="Arial" w:eastAsia="Arial" w:hAnsi="Arial"/>
          <w:b/>
          <w:bCs/>
          <w:color w:val="0072CE"/>
          <w:sz w:val="26"/>
          <w:szCs w:val="26"/>
        </w:rPr>
        <w:t xml:space="preserve">Core Pain Points</w:t>
      </w:r>
    </w:p>
    <w:tbl>
      <w:tblPr>
        <w:tblW w:type="dxa" w:w="8190"/>
        <w:tblBorders>
          <w:top w:val="single" w:color="auto" w:sz="4"/>
          <w:left w:val="single" w:color="auto" w:sz="4"/>
          <w:bottom w:val="single" w:color="auto" w:sz="4"/>
          <w:right w:val="single" w:color="auto" w:sz="4"/>
          <w:insideH w:val="single" w:color="auto" w:sz="4"/>
          <w:insideV w:val="single" w:color="auto" w:sz="4"/>
        </w:tblBorders>
      </w:tblPr>
      <w:tblGrid>
        <w:gridCol w:w="630"/>
        <w:gridCol w:w="3150"/>
        <w:gridCol w:w="2520"/>
        <w:gridCol w:w="1890"/>
      </w:tblGrid>
      <w:tr>
        <w:trPr>
          <w:tblHeader/>
        </w:trPr>
        <w:tc>
          <w:tcPr>
            <w:tcW w:type="dxa" w:w="63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15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Pain Point</w:t>
            </w:r>
          </w:p>
        </w:tc>
        <w:tc>
          <w:tcPr>
            <w:tcW w:type="dxa" w:w="25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189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Affected Party</w:t>
            </w:r>
          </w:p>
        </w:tc>
      </w:tr>
      <w:tr>
        <w:tc>
          <w:tcPr>
            <w:tcW w:type="dxa" w:w="63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P1</w:t>
            </w:r>
          </w:p>
        </w:tc>
        <w:tc>
          <w:tcPr>
            <w:tcW w:type="dxa" w:w="315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Manual status tracking in spreadsheets — All 31 steps tracked in a static Excel file with no automation or alerting</w:t>
            </w:r>
          </w:p>
        </w:tc>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High — steps missed or delayed undetected</w:t>
            </w:r>
          </w:p>
        </w:tc>
        <w:tc>
          <w:tcPr>
            <w:tcW w:type="dxa" w:w="189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All parties</w:t>
            </w:r>
          </w:p>
        </w:tc>
      </w:tr>
      <w:tr>
        <w:tc>
          <w:tcPr>
            <w:tcW w:type="dxa" w:w="63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P2</w:t>
            </w:r>
          </w:p>
        </w:tc>
        <w:tc>
          <w:tcPr>
            <w:tcW w:type="dxa" w:w="315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No cross-party visibility — Issuer, Network, Processor, and Embosser cannot see each other's status in real time</w:t>
            </w:r>
          </w:p>
        </w:tc>
        <w:tc>
          <w:tcPr>
            <w:tcW w:type="dxa" w:w="252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High — delays cascade across dependencies</w:t>
            </w:r>
          </w:p>
        </w:tc>
        <w:tc>
          <w:tcPr>
            <w:tcW w:type="dxa" w:w="189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Issuer, Network, Processor</w:t>
            </w:r>
          </w:p>
        </w:tc>
      </w:tr>
      <w:tr>
        <w:tc>
          <w:tcPr>
            <w:tcW w:type="dxa" w:w="63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P3</w:t>
            </w:r>
          </w:p>
        </w:tc>
        <w:tc>
          <w:tcPr>
            <w:tcW w:type="dxa" w:w="315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No dependency management — Steps like Card Keys Exchange depend on Card Keys Generation, but the tracker has no logic to enforce or alert on this</w:t>
            </w:r>
          </w:p>
        </w:tc>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High — out-of-sequence actions cause compliance issues</w:t>
            </w:r>
          </w:p>
        </w:tc>
        <w:tc>
          <w:tcPr>
            <w:tcW w:type="dxa" w:w="189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Network, Processor</w:t>
            </w:r>
          </w:p>
        </w:tc>
      </w:tr>
      <w:tr>
        <w:tc>
          <w:tcPr>
            <w:tcW w:type="dxa" w:w="63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P4</w:t>
            </w:r>
          </w:p>
        </w:tc>
        <w:tc>
          <w:tcPr>
            <w:tcW w:type="dxa" w:w="315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No intelligent reminders or escalations — Project managers rely on manual follow-up with each party</w:t>
            </w:r>
          </w:p>
        </w:tc>
        <w:tc>
          <w:tcPr>
            <w:tcW w:type="dxa" w:w="252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Medium — PM bandwidth wasted on chasing status</w:t>
            </w:r>
          </w:p>
        </w:tc>
        <w:tc>
          <w:tcPr>
            <w:tcW w:type="dxa" w:w="189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PM, Issuer</w:t>
            </w:r>
          </w:p>
        </w:tc>
      </w:tr>
      <w:tr>
        <w:tc>
          <w:tcPr>
            <w:tcW w:type="dxa" w:w="63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P5</w:t>
            </w:r>
          </w:p>
        </w:tc>
        <w:tc>
          <w:tcPr>
            <w:tcW w:type="dxa" w:w="315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No risk prediction — Delays in early steps are not flagged as risks to downstream milestones</w:t>
            </w:r>
          </w:p>
        </w:tc>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High — launch date jeopardized without early warning</w:t>
            </w:r>
          </w:p>
        </w:tc>
        <w:tc>
          <w:tcPr>
            <w:tcW w:type="dxa" w:w="189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Issuer, Network</w:t>
            </w:r>
          </w:p>
        </w:tc>
      </w:tr>
      <w:tr>
        <w:tc>
          <w:tcPr>
            <w:tcW w:type="dxa" w:w="63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P6</w:t>
            </w:r>
          </w:p>
        </w:tc>
        <w:tc>
          <w:tcPr>
            <w:tcW w:type="dxa" w:w="315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Key management steps lack security guardrails — Steps 9-12 (Card Key Authorization, Generation, Exchange) are tracked the same as administrative steps</w:t>
            </w:r>
          </w:p>
        </w:tc>
        <w:tc>
          <w:tcPr>
            <w:tcW w:type="dxa" w:w="252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Critical — regulatory and fraud risk</w:t>
            </w:r>
          </w:p>
        </w:tc>
        <w:tc>
          <w:tcPr>
            <w:tcW w:type="dxa" w:w="189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Processor, Network</w:t>
            </w:r>
          </w:p>
        </w:tc>
      </w:tr>
    </w:tbl>
    <w:p>
      <w:pPr>
        <w:spacing w:after="120" w:before="0"/>
      </w:pPr>
      <w:r>
        <w:t xml:space="preserve"/>
      </w:r>
    </w:p>
    <w:p>
      <w:pPr>
        <w:pStyle w:val="Heading2"/>
        <w:spacing w:after="100" w:before="240"/>
      </w:pPr>
      <w:r>
        <w:rPr>
          <w:rFonts w:ascii="Arial" w:cs="Arial" w:eastAsia="Arial" w:hAnsi="Arial"/>
          <w:b/>
          <w:bCs/>
          <w:color w:val="0072CE"/>
          <w:sz w:val="26"/>
          <w:szCs w:val="26"/>
        </w:rPr>
        <w:t xml:space="preserve">Problem Statement</w:t>
      </w:r>
    </w:p>
    <w:p>
      <w:pPr>
        <w:pBdr>
          <w:left w:val="single" w:color="0072CE" w:sz="12"/>
        </w:pBdr>
        <w:shd w:fill="EEF5FD" w:val="clear"/>
        <w:spacing w:after="120" w:before="120"/>
        <w:ind w:left="200"/>
      </w:pPr>
      <w:r>
        <w:rPr>
          <w:rFonts w:ascii="Arial" w:cs="Arial" w:eastAsia="Arial" w:hAnsi="Arial"/>
          <w:color w:val="1E2D3D"/>
          <w:sz w:val="20"/>
          <w:szCs w:val="20"/>
        </w:rPr>
        <w:t xml:space="preserve">BIN procurement for new card launches is a high-stakes, multi-party, sequentially dependent process currently managed through static spreadsheets with no automation, no real-time visibility, no dependency intelligence, and no risk prediction — resulting in delays, compliance gaps, and excessive PM overhead.</w:t>
      </w:r>
    </w:p>
    <w:p>
      <w:pPr>
        <w:spacing w:after="120" w:before="0"/>
      </w:pPr>
      <w:r>
        <w:t xml:space="preserve"/>
      </w:r>
    </w:p>
    <w:p>
      <w:pPr>
        <w:pStyle w:val="Heading2"/>
        <w:spacing w:after="100" w:before="240"/>
      </w:pPr>
      <w:r>
        <w:rPr>
          <w:rFonts w:ascii="Arial" w:cs="Arial" w:eastAsia="Arial" w:hAnsi="Arial"/>
          <w:b/>
          <w:bCs/>
          <w:color w:val="0072CE"/>
          <w:sz w:val="26"/>
          <w:szCs w:val="26"/>
        </w:rPr>
        <w:t xml:space="preserve">Current State vs. Desired State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rPr>
          <w:tblHeader/>
        </w:trPr>
        <w:tc>
          <w:tcPr>
            <w:tcW w:type="dxa" w:w="25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37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Current State</w:t>
            </w:r>
          </w:p>
        </w:tc>
        <w:tc>
          <w:tcPr>
            <w:tcW w:type="dxa" w:w="37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Desired State</w:t>
            </w:r>
          </w:p>
        </w:tc>
      </w:tr>
      <w:tr>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Status Tracking</w:t>
            </w:r>
          </w:p>
        </w:tc>
        <w:tc>
          <w:tcPr>
            <w:tcW w:type="dxa" w:w="378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Manual Excel / Smartsheet, updated ad hoc</w:t>
            </w:r>
          </w:p>
        </w:tc>
        <w:tc>
          <w:tcPr>
            <w:tcW w:type="dxa" w:w="378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Real-time, auto-updated dashboard</w:t>
            </w:r>
          </w:p>
        </w:tc>
      </w:tr>
      <w:tr>
        <w:tc>
          <w:tcPr>
            <w:tcW w:type="dxa" w:w="252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Stakeholder Visibility</w:t>
            </w:r>
          </w:p>
        </w:tc>
        <w:tc>
          <w:tcPr>
            <w:tcW w:type="dxa" w:w="378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Email chains per step</w:t>
            </w:r>
          </w:p>
        </w:tc>
        <w:tc>
          <w:tcPr>
            <w:tcW w:type="dxa" w:w="378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Shared portal with role-based views</w:t>
            </w:r>
          </w:p>
        </w:tc>
      </w:tr>
      <w:tr>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Risk Detection</w:t>
            </w:r>
          </w:p>
        </w:tc>
        <w:tc>
          <w:tcPr>
            <w:tcW w:type="dxa" w:w="378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Reactive (after delays occur)</w:t>
            </w:r>
          </w:p>
        </w:tc>
        <w:tc>
          <w:tcPr>
            <w:tcW w:type="dxa" w:w="378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Proactive AI-driven risk scoring</w:t>
            </w:r>
          </w:p>
        </w:tc>
      </w:tr>
      <w:tr>
        <w:tc>
          <w:tcPr>
            <w:tcW w:type="dxa" w:w="252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Reminders</w:t>
            </w:r>
          </w:p>
        </w:tc>
        <w:tc>
          <w:tcPr>
            <w:tcW w:type="dxa" w:w="378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Manual PM follow-up</w:t>
            </w:r>
          </w:p>
        </w:tc>
        <w:tc>
          <w:tcPr>
            <w:tcW w:type="dxa" w:w="378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Automated, context-aware nudges</w:t>
            </w:r>
          </w:p>
        </w:tc>
      </w:tr>
      <w:tr>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Security Steps</w:t>
            </w:r>
          </w:p>
        </w:tc>
        <w:tc>
          <w:tcPr>
            <w:tcW w:type="dxa" w:w="378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Treated same as admin steps</w:t>
            </w:r>
          </w:p>
        </w:tc>
        <w:tc>
          <w:tcPr>
            <w:tcW w:type="dxa" w:w="378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Elevated controls, HSM audit trail</w:t>
            </w:r>
          </w:p>
        </w:tc>
      </w:tr>
      <w:tr>
        <w:tc>
          <w:tcPr>
            <w:tcW w:type="dxa" w:w="252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Audit Trail</w:t>
            </w:r>
          </w:p>
        </w:tc>
        <w:tc>
          <w:tcPr>
            <w:tcW w:type="dxa" w:w="378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None</w:t>
            </w:r>
          </w:p>
        </w:tc>
        <w:tc>
          <w:tcPr>
            <w:tcW w:type="dxa" w:w="378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Full immutable log per step</w:t>
            </w:r>
          </w:p>
        </w:tc>
      </w:tr>
    </w:tbl>
    <w:p>
      <w:pPr>
        <w:spacing w:after="120" w:before="0"/>
      </w:pPr>
      <w:r>
        <w:t xml:space="preserve"/>
      </w:r>
    </w:p>
    <w:p>
      <w:pPr>
        <w:pStyle w:val="Heading1"/>
        <w:pageBreakBefore/>
        <w:spacing w:after="160" w:before="320"/>
      </w:pPr>
      <w:r>
        <w:rPr>
          <w:rFonts w:ascii="Arial" w:cs="Arial" w:eastAsia="Arial" w:hAnsi="Arial"/>
          <w:b/>
          <w:bCs/>
          <w:color w:val="1A3A5C"/>
          <w:sz w:val="36"/>
          <w:szCs w:val="36"/>
        </w:rPr>
        <w:t xml:space="preserve">2. Solution Definition</w:t>
      </w:r>
    </w:p>
    <w:p>
      <w:pPr>
        <w:pBdr>
          <w:bottom w:val="single" w:color="0072CE" w:sz="4"/>
        </w:pBdr>
        <w:spacing w:after="80" w:before="0"/>
      </w:pPr>
    </w:p>
    <w:p>
      <w:pPr>
        <w:pStyle w:val="Heading2"/>
        <w:spacing w:after="100" w:before="240"/>
      </w:pPr>
      <w:r>
        <w:rPr>
          <w:rFonts w:ascii="Arial" w:cs="Arial" w:eastAsia="Arial" w:hAnsi="Arial"/>
          <w:b/>
          <w:bCs/>
          <w:color w:val="0072CE"/>
          <w:sz w:val="26"/>
          <w:szCs w:val="26"/>
        </w:rPr>
        <w:t xml:space="preserve">Product Vision</w:t>
      </w:r>
    </w:p>
    <w:p>
      <w:pPr>
        <w:spacing w:after="80" w:before="0"/>
        <w:jc w:val="left"/>
      </w:pPr>
      <w:r>
        <w:rPr>
          <w:rFonts w:ascii="Arial" w:cs="Arial" w:eastAsia="Arial" w:hAnsi="Arial"/>
          <w:b w:val="false"/>
          <w:bCs w:val="false"/>
          <w:i w:val="false"/>
          <w:iCs w:val="false"/>
          <w:color w:val="1E2D3D"/>
          <w:sz w:val="20"/>
          <w:szCs w:val="20"/>
        </w:rPr>
        <w:t xml:space="preserve">An AI-powered BIN Procurement Tracker — a collaborative, intelligent project management platform purpose-built for payment card launch workflows. The system ingests project milestones from Excel, Smartsheet, or Jira; tracks multi-party progress; predicts risks using AI; and automates stakeholder communication — reducing card launch time and eliminating manual coordination overhead.</w:t>
      </w:r>
    </w:p>
    <w:p>
      <w:pPr>
        <w:spacing w:after="120" w:before="0"/>
      </w:pPr>
      <w:r>
        <w:t xml:space="preserve"/>
      </w:r>
    </w:p>
    <w:p>
      <w:pPr>
        <w:pStyle w:val="Heading2"/>
        <w:spacing w:after="100" w:before="240"/>
      </w:pPr>
      <w:r>
        <w:rPr>
          <w:rFonts w:ascii="Arial" w:cs="Arial" w:eastAsia="Arial" w:hAnsi="Arial"/>
          <w:b/>
          <w:bCs/>
          <w:color w:val="0072CE"/>
          <w:sz w:val="26"/>
          <w:szCs w:val="26"/>
        </w:rPr>
        <w:t xml:space="preserve">Core Capabilities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5040"/>
        <w:gridCol w:w="2520"/>
      </w:tblGrid>
      <w:tr>
        <w:trPr>
          <w:tblHeader/>
        </w:trPr>
        <w:tc>
          <w:tcPr>
            <w:tcW w:type="dxa" w:w="25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Capability</w:t>
            </w:r>
          </w:p>
        </w:tc>
        <w:tc>
          <w:tcPr>
            <w:tcW w:type="dxa" w:w="50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5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AI-Powered?</w:t>
            </w:r>
          </w:p>
        </w:tc>
      </w:tr>
      <w:tr>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Milestone Tracker</w:t>
            </w:r>
          </w:p>
        </w:tc>
        <w:tc>
          <w:tcPr>
            <w:tcW w:type="dxa" w:w="504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Centralized dashboard showing all 31 steps, responsible parties, estimated vs. actual dates, and current status</w:t>
            </w:r>
          </w:p>
        </w:tc>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No (Core)</w:t>
            </w:r>
          </w:p>
        </w:tc>
      </w:tr>
      <w:tr>
        <w:tc>
          <w:tcPr>
            <w:tcW w:type="dxa" w:w="252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Multi-source Import</w:t>
            </w:r>
          </w:p>
        </w:tc>
        <w:tc>
          <w:tcPr>
            <w:tcW w:type="dxa" w:w="504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Project data ingested from Excel (.xlsx), Smartsheet (via API or CSV export), or Jira (via REST API)</w:t>
            </w:r>
          </w:p>
        </w:tc>
        <w:tc>
          <w:tcPr>
            <w:tcW w:type="dxa" w:w="252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No (Core)</w:t>
            </w:r>
          </w:p>
        </w:tc>
      </w:tr>
      <w:tr>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Dependency Engine</w:t>
            </w:r>
          </w:p>
        </w:tc>
        <w:tc>
          <w:tcPr>
            <w:tcW w:type="dxa" w:w="504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Automatically blocks downstream steps when upstream steps are incomplete; sends blocking alerts</w:t>
            </w:r>
          </w:p>
        </w:tc>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No (Rule-based)</w:t>
            </w:r>
          </w:p>
        </w:tc>
      </w:tr>
      <w:tr>
        <w:tc>
          <w:tcPr>
            <w:tcW w:type="dxa" w:w="252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AI Risk Predictor</w:t>
            </w:r>
          </w:p>
        </w:tc>
        <w:tc>
          <w:tcPr>
            <w:tcW w:type="dxa" w:w="504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Analyses current step delays and estimates probability of missing launch date; flags critical path deviations</w:t>
            </w:r>
          </w:p>
        </w:tc>
        <w:tc>
          <w:tcPr>
            <w:tcW w:type="dxa" w:w="252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Yes</w:t>
            </w:r>
          </w:p>
        </w:tc>
      </w:tr>
      <w:tr>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Smart Nudges</w:t>
            </w:r>
          </w:p>
        </w:tc>
        <w:tc>
          <w:tcPr>
            <w:tcW w:type="dxa" w:w="504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AI-generated, context-aware reminder messages sent to responsible parties based on step urgency and history</w:t>
            </w:r>
          </w:p>
        </w:tc>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Yes</w:t>
            </w:r>
          </w:p>
        </w:tc>
      </w:tr>
      <w:tr>
        <w:tc>
          <w:tcPr>
            <w:tcW w:type="dxa" w:w="252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Status Summariser</w:t>
            </w:r>
          </w:p>
        </w:tc>
        <w:tc>
          <w:tcPr>
            <w:tcW w:type="dxa" w:w="504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Weekly AI-generated narrative summary of project health for executive stakeholders</w:t>
            </w:r>
          </w:p>
        </w:tc>
        <w:tc>
          <w:tcPr>
            <w:tcW w:type="dxa" w:w="252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Yes</w:t>
            </w:r>
          </w:p>
        </w:tc>
      </w:tr>
      <w:tr>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Secure Key Workflow</w:t>
            </w:r>
          </w:p>
        </w:tc>
        <w:tc>
          <w:tcPr>
            <w:tcW w:type="dxa" w:w="504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Steps 9-12 (Card Key workflows) handled with elevated access controls and HSM integration markers</w:t>
            </w:r>
          </w:p>
        </w:tc>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No (Compliance)</w:t>
            </w:r>
          </w:p>
        </w:tc>
      </w:tr>
      <w:tr>
        <w:tc>
          <w:tcPr>
            <w:tcW w:type="dxa" w:w="252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Multi-party Portal</w:t>
            </w:r>
          </w:p>
        </w:tc>
        <w:tc>
          <w:tcPr>
            <w:tcW w:type="dxa" w:w="504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Role-based access for Issuer, Network, Processor, Embosser — each sees their own tasks plus dependencies</w:t>
            </w:r>
          </w:p>
        </w:tc>
        <w:tc>
          <w:tcPr>
            <w:tcW w:type="dxa" w:w="252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No (Core)</w:t>
            </w:r>
          </w:p>
        </w:tc>
      </w:tr>
      <w:tr>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Audit Log</w:t>
            </w:r>
          </w:p>
        </w:tc>
        <w:tc>
          <w:tcPr>
            <w:tcW w:type="dxa" w:w="504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Immutable timestamped record of every status change, comment, and escalation per step</w:t>
            </w:r>
          </w:p>
        </w:tc>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No (Compliance)</w:t>
            </w:r>
          </w:p>
        </w:tc>
      </w:tr>
    </w:tbl>
    <w:p>
      <w:pPr>
        <w:spacing w:after="120" w:before="0"/>
      </w:pPr>
      <w:r>
        <w:t xml:space="preserve"/>
      </w:r>
    </w:p>
    <w:p>
      <w:pPr>
        <w:pStyle w:val="Heading2"/>
        <w:spacing w:after="100" w:before="240"/>
      </w:pPr>
      <w:r>
        <w:rPr>
          <w:rFonts w:ascii="Arial" w:cs="Arial" w:eastAsia="Arial" w:hAnsi="Arial"/>
          <w:b/>
          <w:bCs/>
          <w:color w:val="0072CE"/>
          <w:sz w:val="26"/>
          <w:szCs w:val="26"/>
        </w:rPr>
        <w:t xml:space="preserve">Solution Architecture</w:t>
      </w:r>
    </w:p>
    <w:p>
      <w:pPr>
        <w:spacing w:after="80" w:before="0"/>
      </w:pPr>
      <w:r>
        <w:rPr>
          <w:rFonts w:ascii="Arial" w:cs="Arial" w:eastAsia="Arial" w:hAnsi="Arial"/>
          <w:b/>
          <w:bCs/>
          <w:color w:val="1E2D3D"/>
          <w:sz w:val="20"/>
          <w:szCs w:val="20"/>
        </w:rPr>
        <w:t xml:space="preserve">Data Layer: </w:t>
      </w:r>
      <w:r>
        <w:rPr>
          <w:rFonts w:ascii="Arial" w:cs="Arial" w:eastAsia="Arial" w:hAnsi="Arial"/>
          <w:color w:val="1E2D3D"/>
          <w:sz w:val="20"/>
          <w:szCs w:val="20"/>
        </w:rPr>
        <w:t xml:space="preserve">Project configuration imported from Excel, Smartsheet (API/CSV), or Jira (REST API), or entered via UI. Data stored in a relational DB with event sourcing for audit logs.</w:t>
      </w:r>
    </w:p>
    <w:p>
      <w:pPr>
        <w:spacing w:after="80" w:before="0"/>
      </w:pPr>
      <w:r>
        <w:rPr>
          <w:rFonts w:ascii="Arial" w:cs="Arial" w:eastAsia="Arial" w:hAnsi="Arial"/>
          <w:b/>
          <w:bCs/>
          <w:color w:val="1E2D3D"/>
          <w:sz w:val="20"/>
          <w:szCs w:val="20"/>
        </w:rPr>
        <w:t xml:space="preserve">Intelligence Layer: </w:t>
      </w:r>
      <w:r>
        <w:rPr>
          <w:rFonts w:ascii="Arial" w:cs="Arial" w:eastAsia="Arial" w:hAnsi="Arial"/>
          <w:color w:val="1E2D3D"/>
          <w:sz w:val="20"/>
          <w:szCs w:val="20"/>
        </w:rPr>
        <w:t xml:space="preserve">An LLM-based AI engine (Claude / GPT-4o class) handles risk prediction, reminder generation, and status summarisation. Prompts are structured, deterministic, and auditable.</w:t>
      </w:r>
    </w:p>
    <w:p>
      <w:pPr>
        <w:spacing w:after="80" w:before="0"/>
      </w:pPr>
      <w:r>
        <w:rPr>
          <w:rFonts w:ascii="Arial" w:cs="Arial" w:eastAsia="Arial" w:hAnsi="Arial"/>
          <w:b/>
          <w:bCs/>
          <w:color w:val="1E2D3D"/>
          <w:sz w:val="20"/>
          <w:szCs w:val="20"/>
        </w:rPr>
        <w:t xml:space="preserve">Presentation Layer: </w:t>
      </w:r>
      <w:r>
        <w:rPr>
          <w:rFonts w:ascii="Arial" w:cs="Arial" w:eastAsia="Arial" w:hAnsi="Arial"/>
          <w:color w:val="1E2D3D"/>
          <w:sz w:val="20"/>
          <w:szCs w:val="20"/>
        </w:rPr>
        <w:t xml:space="preserve">A web portal with role-based dashboards, a timeline view, and an API for integration with existing PM tools (Jira, Smartsheet, ServiceNow, etc.).</w:t>
      </w:r>
    </w:p>
    <w:p>
      <w:pPr>
        <w:spacing w:after="120" w:before="0"/>
      </w:pPr>
      <w:r>
        <w:t xml:space="preserve"/>
      </w:r>
    </w:p>
    <w:p>
      <w:pPr>
        <w:pStyle w:val="Heading2"/>
        <w:spacing w:after="100" w:before="240"/>
      </w:pPr>
      <w:r>
        <w:rPr>
          <w:rFonts w:ascii="Arial" w:cs="Arial" w:eastAsia="Arial" w:hAnsi="Arial"/>
          <w:b/>
          <w:bCs/>
          <w:color w:val="0072CE"/>
          <w:sz w:val="26"/>
          <w:szCs w:val="26"/>
        </w:rPr>
        <w:t xml:space="preserve">Key User Stories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772"/>
        <w:gridCol w:w="3276"/>
      </w:tblGrid>
      <w:tr>
        <w:trPr>
          <w:tblHeader/>
        </w:trPr>
        <w:tc>
          <w:tcPr>
            <w:tcW w:type="dxa" w:w="2016"/>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2016"/>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 a...</w:t>
            </w:r>
          </w:p>
        </w:tc>
        <w:tc>
          <w:tcPr>
            <w:tcW w:type="dxa" w:w="2772"/>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 want to...</w:t>
            </w:r>
          </w:p>
        </w:tc>
        <w:tc>
          <w:tcPr>
            <w:tcW w:type="dxa" w:w="3276"/>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 that...</w:t>
            </w:r>
          </w:p>
        </w:tc>
      </w:tr>
      <w:tr>
        <w:tc>
          <w:tcPr>
            <w:tcW w:type="dxa" w:w="2016"/>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Program Manager</w:t>
            </w:r>
          </w:p>
        </w:tc>
        <w:tc>
          <w:tcPr>
            <w:tcW w:type="dxa" w:w="2016"/>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PM at the Issuer</w:t>
            </w:r>
          </w:p>
        </w:tc>
        <w:tc>
          <w:tcPr>
            <w:tcW w:type="dxa" w:w="2772"/>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See all 31 steps on one screen with RAG status</w:t>
            </w:r>
          </w:p>
        </w:tc>
        <w:tc>
          <w:tcPr>
            <w:tcW w:type="dxa" w:w="3276"/>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I can intervene before delays cascade</w:t>
            </w:r>
          </w:p>
        </w:tc>
      </w:tr>
      <w:tr>
        <w:tc>
          <w:tcPr>
            <w:tcW w:type="dxa" w:w="2016"/>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Network PM</w:t>
            </w:r>
          </w:p>
        </w:tc>
        <w:tc>
          <w:tcPr>
            <w:tcW w:type="dxa" w:w="2016"/>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Network PM</w:t>
            </w:r>
          </w:p>
        </w:tc>
        <w:tc>
          <w:tcPr>
            <w:tcW w:type="dxa" w:w="2772"/>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Receive smart reminders only for my steps</w:t>
            </w:r>
          </w:p>
        </w:tc>
        <w:tc>
          <w:tcPr>
            <w:tcW w:type="dxa" w:w="3276"/>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I am not overwhelmed by irrelevant notifications</w:t>
            </w:r>
          </w:p>
        </w:tc>
      </w:tr>
      <w:tr>
        <w:tc>
          <w:tcPr>
            <w:tcW w:type="dxa" w:w="2016"/>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Processor</w:t>
            </w:r>
          </w:p>
        </w:tc>
        <w:tc>
          <w:tcPr>
            <w:tcW w:type="dxa" w:w="2016"/>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Processor security team</w:t>
            </w:r>
          </w:p>
        </w:tc>
        <w:tc>
          <w:tcPr>
            <w:tcW w:type="dxa" w:w="2772"/>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Complete key steps with elevated approval workflow</w:t>
            </w:r>
          </w:p>
        </w:tc>
        <w:tc>
          <w:tcPr>
            <w:tcW w:type="dxa" w:w="3276"/>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Compliance and audit requirements are met</w:t>
            </w:r>
          </w:p>
        </w:tc>
      </w:tr>
      <w:tr>
        <w:tc>
          <w:tcPr>
            <w:tcW w:type="dxa" w:w="2016"/>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Executive</w:t>
            </w:r>
          </w:p>
        </w:tc>
        <w:tc>
          <w:tcPr>
            <w:tcW w:type="dxa" w:w="2016"/>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Card launch sponsor</w:t>
            </w:r>
          </w:p>
        </w:tc>
        <w:tc>
          <w:tcPr>
            <w:tcW w:type="dxa" w:w="2772"/>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Receive a weekly AI summary of project health</w:t>
            </w:r>
          </w:p>
        </w:tc>
        <w:tc>
          <w:tcPr>
            <w:tcW w:type="dxa" w:w="3276"/>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I can report to the board without manual data gathering</w:t>
            </w:r>
          </w:p>
        </w:tc>
      </w:tr>
    </w:tbl>
    <w:p>
      <w:pPr>
        <w:spacing w:after="120" w:before="0"/>
      </w:pPr>
      <w:r>
        <w:t xml:space="preserve"/>
      </w:r>
    </w:p>
    <w:p>
      <w:pPr>
        <w:pStyle w:val="Heading1"/>
        <w:pageBreakBefore/>
        <w:spacing w:after="160" w:before="320"/>
      </w:pPr>
      <w:r>
        <w:rPr>
          <w:rFonts w:ascii="Arial" w:cs="Arial" w:eastAsia="Arial" w:hAnsi="Arial"/>
          <w:b/>
          <w:bCs/>
          <w:color w:val="1A3A5C"/>
          <w:sz w:val="36"/>
          <w:szCs w:val="36"/>
        </w:rPr>
        <w:t xml:space="preserve">3. Core Metrics</w:t>
      </w:r>
    </w:p>
    <w:p>
      <w:pPr>
        <w:pBdr>
          <w:bottom w:val="single" w:color="0072CE" w:sz="4"/>
        </w:pBdr>
        <w:spacing w:after="80" w:before="0"/>
      </w:pPr>
    </w:p>
    <w:p>
      <w:pPr>
        <w:pBdr>
          <w:left w:val="single" w:color="1A7A4A" w:sz="12"/>
        </w:pBdr>
        <w:shd w:fill="F0FAF4" w:val="clear"/>
        <w:spacing w:after="120" w:before="120"/>
        <w:ind w:left="200"/>
      </w:pPr>
      <w:r>
        <w:rPr>
          <w:rFonts w:ascii="Arial" w:cs="Arial" w:eastAsia="Arial" w:hAnsi="Arial"/>
          <w:color w:val="1E2D3D"/>
          <w:sz w:val="20"/>
          <w:szCs w:val="20"/>
        </w:rPr>
        <w:t xml:space="preserve">North Star Metric: On-Time Card Launch Rate — % of BIN procurement projects completed on or before target launch date. Target: &gt;= 90% within 6 months of deployment.</w:t>
      </w:r>
    </w:p>
    <w:p>
      <w:pPr>
        <w:spacing w:after="120" w:before="0"/>
      </w:pPr>
      <w:r>
        <w:t xml:space="preserve"/>
      </w:r>
    </w:p>
    <w:p>
      <w:pPr>
        <w:pStyle w:val="Heading2"/>
        <w:spacing w:after="100" w:before="240"/>
      </w:pPr>
      <w:r>
        <w:rPr>
          <w:rFonts w:ascii="Arial" w:cs="Arial" w:eastAsia="Arial" w:hAnsi="Arial"/>
          <w:b/>
          <w:bCs/>
          <w:color w:val="0072CE"/>
          <w:sz w:val="26"/>
          <w:szCs w:val="26"/>
        </w:rPr>
        <w:t xml:space="preserve">Product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80"/>
        <w:gridCol w:w="1680"/>
        <w:gridCol w:w="4620"/>
      </w:tblGrid>
      <w:tr>
        <w:trPr>
          <w:tblHeader/>
        </w:trPr>
        <w:tc>
          <w:tcPr>
            <w:tcW w:type="dxa" w:w="37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1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46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Measurement Method</w:t>
            </w:r>
          </w:p>
        </w:tc>
      </w:tr>
      <w:tr>
        <w:tc>
          <w:tcPr>
            <w:tcW w:type="dxa" w:w="378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Step On-Time Rate</w:t>
            </w:r>
          </w:p>
        </w:tc>
        <w:tc>
          <w:tcPr>
            <w:tcW w:type="dxa" w:w="168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&gt;= 85%</w:t>
            </w:r>
          </w:p>
        </w:tc>
        <w:tc>
          <w:tcPr>
            <w:tcW w:type="dxa" w:w="46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 of 31 steps completed by estimated date</w:t>
            </w:r>
          </w:p>
        </w:tc>
      </w:tr>
      <w:tr>
        <w:tc>
          <w:tcPr>
            <w:tcW w:type="dxa" w:w="378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Average Step Delay</w:t>
            </w:r>
          </w:p>
        </w:tc>
        <w:tc>
          <w:tcPr>
            <w:tcW w:type="dxa" w:w="168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&lt; 3 days</w:t>
            </w:r>
          </w:p>
        </w:tc>
        <w:tc>
          <w:tcPr>
            <w:tcW w:type="dxa" w:w="462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Average slippage per step vs. plan</w:t>
            </w:r>
          </w:p>
        </w:tc>
      </w:tr>
      <w:tr>
        <w:tc>
          <w:tcPr>
            <w:tcW w:type="dxa" w:w="378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PM Time Saved</w:t>
            </w:r>
          </w:p>
        </w:tc>
        <w:tc>
          <w:tcPr>
            <w:tcW w:type="dxa" w:w="168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40%</w:t>
            </w:r>
          </w:p>
        </w:tc>
        <w:tc>
          <w:tcPr>
            <w:tcW w:type="dxa" w:w="46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Reduction in manual follow-up hours per launch</w:t>
            </w:r>
          </w:p>
        </w:tc>
      </w:tr>
      <w:tr>
        <w:tc>
          <w:tcPr>
            <w:tcW w:type="dxa" w:w="378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AI Nudge Response Rate</w:t>
            </w:r>
          </w:p>
        </w:tc>
        <w:tc>
          <w:tcPr>
            <w:tcW w:type="dxa" w:w="168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&gt;= 70%</w:t>
            </w:r>
          </w:p>
        </w:tc>
        <w:tc>
          <w:tcPr>
            <w:tcW w:type="dxa" w:w="462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 of AI reminders resulting in status update within 24h</w:t>
            </w:r>
          </w:p>
        </w:tc>
      </w:tr>
      <w:tr>
        <w:tc>
          <w:tcPr>
            <w:tcW w:type="dxa" w:w="378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Risk Detection Precision</w:t>
            </w:r>
          </w:p>
        </w:tc>
        <w:tc>
          <w:tcPr>
            <w:tcW w:type="dxa" w:w="168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&gt;= 80%</w:t>
            </w:r>
          </w:p>
        </w:tc>
        <w:tc>
          <w:tcPr>
            <w:tcW w:type="dxa" w:w="46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 of AI-flagged risks that actually caused delay</w:t>
            </w:r>
          </w:p>
        </w:tc>
      </w:tr>
      <w:tr>
        <w:tc>
          <w:tcPr>
            <w:tcW w:type="dxa" w:w="378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Audit Coverage</w:t>
            </w:r>
          </w:p>
        </w:tc>
        <w:tc>
          <w:tcPr>
            <w:tcW w:type="dxa" w:w="168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100%</w:t>
            </w:r>
          </w:p>
        </w:tc>
        <w:tc>
          <w:tcPr>
            <w:tcW w:type="dxa" w:w="462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 of steps with immutable audit trail</w:t>
            </w:r>
          </w:p>
        </w:tc>
      </w:tr>
    </w:tbl>
    <w:p>
      <w:pPr>
        <w:spacing w:after="120" w:before="0"/>
      </w:pPr>
      <w:r>
        <w:t xml:space="preserve"/>
      </w:r>
    </w:p>
    <w:p>
      <w:pPr>
        <w:pStyle w:val="Heading2"/>
        <w:spacing w:after="100" w:before="240"/>
      </w:pPr>
      <w:r>
        <w:rPr>
          <w:rFonts w:ascii="Arial" w:cs="Arial" w:eastAsia="Arial" w:hAnsi="Arial"/>
          <w:b/>
          <w:bCs/>
          <w:color w:val="0072CE"/>
          <w:sz w:val="26"/>
          <w:szCs w:val="26"/>
        </w:rPr>
        <w:t xml:space="preserve">Business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2520"/>
        <w:gridCol w:w="3528"/>
      </w:tblGrid>
      <w:tr>
        <w:trPr>
          <w:tblHeader/>
        </w:trPr>
        <w:tc>
          <w:tcPr>
            <w:tcW w:type="dxa" w:w="4032"/>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5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Baseline</w:t>
            </w:r>
          </w:p>
        </w:tc>
        <w:tc>
          <w:tcPr>
            <w:tcW w:type="dxa" w:w="3528"/>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6-Month Target</w:t>
            </w:r>
          </w:p>
        </w:tc>
      </w:tr>
      <w:tr>
        <w:tc>
          <w:tcPr>
            <w:tcW w:type="dxa" w:w="4032"/>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Average BIN procurement cycle time</w:t>
            </w:r>
          </w:p>
        </w:tc>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~5 months (manual)</w:t>
            </w:r>
          </w:p>
        </w:tc>
        <w:tc>
          <w:tcPr>
            <w:tcW w:type="dxa" w:w="3528"/>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&lt; 4 months</w:t>
            </w:r>
          </w:p>
        </w:tc>
      </w:tr>
      <w:tr>
        <w:tc>
          <w:tcPr>
            <w:tcW w:type="dxa" w:w="4032"/>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Failed or delayed launches due to BIN issues</w:t>
            </w:r>
          </w:p>
        </w:tc>
        <w:tc>
          <w:tcPr>
            <w:tcW w:type="dxa" w:w="252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~30% of projects</w:t>
            </w:r>
          </w:p>
        </w:tc>
        <w:tc>
          <w:tcPr>
            <w:tcW w:type="dxa" w:w="3528"/>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&lt; 10%</w:t>
            </w:r>
          </w:p>
        </w:tc>
      </w:tr>
      <w:tr>
        <w:tc>
          <w:tcPr>
            <w:tcW w:type="dxa" w:w="4032"/>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Customer (Issuer) NPS</w:t>
            </w:r>
          </w:p>
        </w:tc>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Not measured</w:t>
            </w:r>
          </w:p>
        </w:tc>
        <w:tc>
          <w:tcPr>
            <w:tcW w:type="dxa" w:w="3528"/>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&gt;= 40</w:t>
            </w:r>
          </w:p>
        </w:tc>
      </w:tr>
    </w:tbl>
    <w:p>
      <w:pPr>
        <w:spacing w:after="120" w:before="0"/>
      </w:pPr>
      <w:r>
        <w:t xml:space="preserve"/>
      </w:r>
    </w:p>
    <w:p>
      <w:pPr>
        <w:pStyle w:val="Heading1"/>
        <w:pageBreakBefore/>
        <w:spacing w:after="160" w:before="320"/>
      </w:pPr>
      <w:r>
        <w:rPr>
          <w:rFonts w:ascii="Arial" w:cs="Arial" w:eastAsia="Arial" w:hAnsi="Arial"/>
          <w:b/>
          <w:bCs/>
          <w:color w:val="1A3A5C"/>
          <w:sz w:val="36"/>
          <w:szCs w:val="36"/>
        </w:rPr>
        <w:t xml:space="preserve">4. Prioritization</w:t>
      </w:r>
    </w:p>
    <w:p>
      <w:pPr>
        <w:pBdr>
          <w:bottom w:val="single" w:color="0072CE" w:sz="4"/>
        </w:pBdr>
        <w:spacing w:after="80" w:before="0"/>
      </w:pPr>
    </w:p>
    <w:p>
      <w:pPr>
        <w:spacing w:after="80" w:before="0"/>
        <w:jc w:val="left"/>
      </w:pPr>
      <w:r>
        <w:rPr>
          <w:rFonts w:ascii="Arial" w:cs="Arial" w:eastAsia="Arial" w:hAnsi="Arial"/>
          <w:b w:val="false"/>
          <w:bCs w:val="false"/>
          <w:i w:val="false"/>
          <w:iCs w:val="false"/>
          <w:color w:val="1E2D3D"/>
          <w:sz w:val="20"/>
          <w:szCs w:val="20"/>
        </w:rPr>
        <w:t xml:space="preserve">Features are prioritised using the MoSCoW framework. Phase 1 covers Must Have features; Phases 2-3 address Should Have and Could Have.</w:t>
      </w:r>
    </w:p>
    <w:p>
      <w:pPr>
        <w:spacing w:after="120" w:before="0"/>
      </w:pPr>
      <w:r>
        <w:t xml:space="preserve"/>
      </w:r>
    </w:p>
    <w:p>
      <w:pPr>
        <w:pStyle w:val="Heading2"/>
        <w:spacing w:after="100" w:before="240"/>
      </w:pPr>
      <w:r>
        <w:rPr>
          <w:rFonts w:ascii="Arial" w:cs="Arial" w:eastAsia="Arial" w:hAnsi="Arial"/>
          <w:b/>
          <w:bCs/>
          <w:color w:val="0072CE"/>
          <w:sz w:val="26"/>
          <w:szCs w:val="26"/>
        </w:rPr>
        <w:t xml:space="preserve">Must Have — Phase 1 (MVP)</w:t>
      </w:r>
    </w:p>
    <w:p>
      <w:pPr>
        <w:pStyle w:val="ListParagraph"/>
        <w:numPr>
          <w:ilvl w:val="0"/>
          <w:numId w:val="2"/>
        </w:numPr>
        <w:spacing w:after="60" w:before="0"/>
      </w:pPr>
      <w:r>
        <w:rPr>
          <w:rFonts w:ascii="Arial" w:cs="Arial" w:eastAsia="Arial" w:hAnsi="Arial"/>
          <w:color w:val="1E2D3D"/>
          <w:sz w:val="20"/>
          <w:szCs w:val="20"/>
        </w:rPr>
        <w:t xml:space="preserve">All 31-step milestone tracker with status (To Do / In Progress / Done / Blocked)</w:t>
      </w:r>
    </w:p>
    <w:p>
      <w:pPr>
        <w:pStyle w:val="ListParagraph"/>
        <w:numPr>
          <w:ilvl w:val="0"/>
          <w:numId w:val="2"/>
        </w:numPr>
        <w:spacing w:after="60" w:before="0"/>
      </w:pPr>
      <w:r>
        <w:rPr>
          <w:rFonts w:ascii="Arial" w:cs="Arial" w:eastAsia="Arial" w:hAnsi="Arial"/>
          <w:color w:val="1E2D3D"/>
          <w:sz w:val="20"/>
          <w:szCs w:val="20"/>
        </w:rPr>
        <w:t xml:space="preserve">Excel (.xlsx) and Smartsheet CSV / API import for project configuration</w:t>
      </w:r>
    </w:p>
    <w:p>
      <w:pPr>
        <w:pStyle w:val="ListParagraph"/>
        <w:numPr>
          <w:ilvl w:val="0"/>
          <w:numId w:val="2"/>
        </w:numPr>
        <w:spacing w:after="60" w:before="0"/>
      </w:pPr>
      <w:r>
        <w:rPr>
          <w:rFonts w:ascii="Arial" w:cs="Arial" w:eastAsia="Arial" w:hAnsi="Arial"/>
          <w:color w:val="1E2D3D"/>
          <w:sz w:val="20"/>
          <w:szCs w:val="20"/>
        </w:rPr>
        <w:t xml:space="preserve">Jira REST API import as an equivalent configuration source</w:t>
      </w:r>
    </w:p>
    <w:p>
      <w:pPr>
        <w:pStyle w:val="ListParagraph"/>
        <w:numPr>
          <w:ilvl w:val="0"/>
          <w:numId w:val="2"/>
        </w:numPr>
        <w:spacing w:after="60" w:before="0"/>
      </w:pPr>
      <w:r>
        <w:rPr>
          <w:rFonts w:ascii="Arial" w:cs="Arial" w:eastAsia="Arial" w:hAnsi="Arial"/>
          <w:color w:val="1E2D3D"/>
          <w:sz w:val="20"/>
          <w:szCs w:val="20"/>
        </w:rPr>
        <w:t xml:space="preserve">Estimated vs. actual date tracking per step</w:t>
      </w:r>
    </w:p>
    <w:p>
      <w:pPr>
        <w:pStyle w:val="ListParagraph"/>
        <w:numPr>
          <w:ilvl w:val="0"/>
          <w:numId w:val="2"/>
        </w:numPr>
        <w:spacing w:after="60" w:before="0"/>
      </w:pPr>
      <w:r>
        <w:rPr>
          <w:rFonts w:ascii="Arial" w:cs="Arial" w:eastAsia="Arial" w:hAnsi="Arial"/>
          <w:color w:val="1E2D3D"/>
          <w:sz w:val="20"/>
          <w:szCs w:val="20"/>
        </w:rPr>
        <w:t xml:space="preserve">Responsible party assignment per step</w:t>
      </w:r>
    </w:p>
    <w:p>
      <w:pPr>
        <w:pStyle w:val="ListParagraph"/>
        <w:numPr>
          <w:ilvl w:val="0"/>
          <w:numId w:val="2"/>
        </w:numPr>
        <w:spacing w:after="60" w:before="0"/>
      </w:pPr>
      <w:r>
        <w:rPr>
          <w:rFonts w:ascii="Arial" w:cs="Arial" w:eastAsia="Arial" w:hAnsi="Arial"/>
          <w:color w:val="1E2D3D"/>
          <w:sz w:val="20"/>
          <w:szCs w:val="20"/>
        </w:rPr>
        <w:t xml:space="preserve">Basic dependency blocking (step N+1 cannot start until step N complete)</w:t>
      </w:r>
    </w:p>
    <w:p>
      <w:pPr>
        <w:pStyle w:val="ListParagraph"/>
        <w:numPr>
          <w:ilvl w:val="0"/>
          <w:numId w:val="2"/>
        </w:numPr>
        <w:spacing w:after="60" w:before="0"/>
      </w:pPr>
      <w:r>
        <w:rPr>
          <w:rFonts w:ascii="Arial" w:cs="Arial" w:eastAsia="Arial" w:hAnsi="Arial"/>
          <w:color w:val="1E2D3D"/>
          <w:sz w:val="20"/>
          <w:szCs w:val="20"/>
        </w:rPr>
        <w:t xml:space="preserve">Email reminders for overdue steps</w:t>
      </w:r>
    </w:p>
    <w:p>
      <w:pPr>
        <w:pStyle w:val="ListParagraph"/>
        <w:numPr>
          <w:ilvl w:val="0"/>
          <w:numId w:val="2"/>
        </w:numPr>
        <w:spacing w:after="60" w:before="0"/>
      </w:pPr>
      <w:r>
        <w:rPr>
          <w:rFonts w:ascii="Arial" w:cs="Arial" w:eastAsia="Arial" w:hAnsi="Arial"/>
          <w:color w:val="1E2D3D"/>
          <w:sz w:val="20"/>
          <w:szCs w:val="20"/>
        </w:rPr>
        <w:t xml:space="preserve">Full immutable audit log per step</w:t>
      </w:r>
    </w:p>
    <w:p>
      <w:pPr>
        <w:pStyle w:val="ListParagraph"/>
        <w:numPr>
          <w:ilvl w:val="0"/>
          <w:numId w:val="2"/>
        </w:numPr>
        <w:spacing w:after="60" w:before="0"/>
      </w:pPr>
      <w:r>
        <w:rPr>
          <w:rFonts w:ascii="Arial" w:cs="Arial" w:eastAsia="Arial" w:hAnsi="Arial"/>
          <w:color w:val="1E2D3D"/>
          <w:sz w:val="20"/>
          <w:szCs w:val="20"/>
        </w:rPr>
        <w:t xml:space="preserve">Role-based access: Issuer, Network, Processor, Embosser</w:t>
      </w:r>
    </w:p>
    <w:p>
      <w:pPr>
        <w:pStyle w:val="ListParagraph"/>
        <w:numPr>
          <w:ilvl w:val="0"/>
          <w:numId w:val="2"/>
        </w:numPr>
        <w:spacing w:after="60" w:before="0"/>
      </w:pPr>
      <w:r>
        <w:rPr>
          <w:rFonts w:ascii="Arial" w:cs="Arial" w:eastAsia="Arial" w:hAnsi="Arial"/>
          <w:color w:val="1E2D3D"/>
          <w:sz w:val="20"/>
          <w:szCs w:val="20"/>
        </w:rPr>
        <w:t xml:space="preserve">Elevated workflow for Card Key steps (9-12)</w:t>
      </w:r>
    </w:p>
    <w:p>
      <w:pPr>
        <w:spacing w:after="120" w:before="0"/>
      </w:pPr>
      <w:r>
        <w:t xml:space="preserve"/>
      </w:r>
    </w:p>
    <w:p>
      <w:pPr>
        <w:pStyle w:val="Heading2"/>
        <w:spacing w:after="100" w:before="240"/>
      </w:pPr>
      <w:r>
        <w:rPr>
          <w:rFonts w:ascii="Arial" w:cs="Arial" w:eastAsia="Arial" w:hAnsi="Arial"/>
          <w:b/>
          <w:bCs/>
          <w:color w:val="0072CE"/>
          <w:sz w:val="26"/>
          <w:szCs w:val="26"/>
        </w:rPr>
        <w:t xml:space="preserve">Should Have — Phase 2</w:t>
      </w:r>
    </w:p>
    <w:p>
      <w:pPr>
        <w:pStyle w:val="ListParagraph"/>
        <w:numPr>
          <w:ilvl w:val="0"/>
          <w:numId w:val="2"/>
        </w:numPr>
        <w:spacing w:after="60" w:before="0"/>
      </w:pPr>
      <w:r>
        <w:rPr>
          <w:rFonts w:ascii="Arial" w:cs="Arial" w:eastAsia="Arial" w:hAnsi="Arial"/>
          <w:color w:val="1E2D3D"/>
          <w:sz w:val="20"/>
          <w:szCs w:val="20"/>
        </w:rPr>
        <w:t xml:space="preserve">AI-powered risk predictor (launch date delay probability)</w:t>
      </w:r>
    </w:p>
    <w:p>
      <w:pPr>
        <w:pStyle w:val="ListParagraph"/>
        <w:numPr>
          <w:ilvl w:val="0"/>
          <w:numId w:val="2"/>
        </w:numPr>
        <w:spacing w:after="60" w:before="0"/>
      </w:pPr>
      <w:r>
        <w:rPr>
          <w:rFonts w:ascii="Arial" w:cs="Arial" w:eastAsia="Arial" w:hAnsi="Arial"/>
          <w:color w:val="1E2D3D"/>
          <w:sz w:val="20"/>
          <w:szCs w:val="20"/>
        </w:rPr>
        <w:t xml:space="preserve">AI smart nudges — context-aware, personalised reminder text</w:t>
      </w:r>
    </w:p>
    <w:p>
      <w:pPr>
        <w:pStyle w:val="ListParagraph"/>
        <w:numPr>
          <w:ilvl w:val="0"/>
          <w:numId w:val="2"/>
        </w:numPr>
        <w:spacing w:after="60" w:before="0"/>
      </w:pPr>
      <w:r>
        <w:rPr>
          <w:rFonts w:ascii="Arial" w:cs="Arial" w:eastAsia="Arial" w:hAnsi="Arial"/>
          <w:color w:val="1E2D3D"/>
          <w:sz w:val="20"/>
          <w:szCs w:val="20"/>
        </w:rPr>
        <w:t xml:space="preserve">Executive weekly AI status summary</w:t>
      </w:r>
    </w:p>
    <w:p>
      <w:pPr>
        <w:pStyle w:val="ListParagraph"/>
        <w:numPr>
          <w:ilvl w:val="0"/>
          <w:numId w:val="2"/>
        </w:numPr>
        <w:spacing w:after="60" w:before="0"/>
      </w:pPr>
      <w:r>
        <w:rPr>
          <w:rFonts w:ascii="Arial" w:cs="Arial" w:eastAsia="Arial" w:hAnsi="Arial"/>
          <w:color w:val="1E2D3D"/>
          <w:sz w:val="20"/>
          <w:szCs w:val="20"/>
        </w:rPr>
        <w:t xml:space="preserve">Critical path highlighting on timeline view</w:t>
      </w:r>
    </w:p>
    <w:p>
      <w:pPr>
        <w:pStyle w:val="ListParagraph"/>
        <w:numPr>
          <w:ilvl w:val="0"/>
          <w:numId w:val="2"/>
        </w:numPr>
        <w:spacing w:after="60" w:before="0"/>
      </w:pPr>
      <w:r>
        <w:rPr>
          <w:rFonts w:ascii="Arial" w:cs="Arial" w:eastAsia="Arial" w:hAnsi="Arial"/>
          <w:color w:val="1E2D3D"/>
          <w:sz w:val="20"/>
          <w:szCs w:val="20"/>
        </w:rPr>
        <w:t xml:space="preserve">Multi-project dashboard (multiple BIN procurements in parallel)</w:t>
      </w:r>
    </w:p>
    <w:p>
      <w:pPr>
        <w:pStyle w:val="ListParagraph"/>
        <w:numPr>
          <w:ilvl w:val="0"/>
          <w:numId w:val="2"/>
        </w:numPr>
        <w:spacing w:after="60" w:before="0"/>
      </w:pPr>
      <w:r>
        <w:rPr>
          <w:rFonts w:ascii="Arial" w:cs="Arial" w:eastAsia="Arial" w:hAnsi="Arial"/>
          <w:color w:val="1E2D3D"/>
          <w:sz w:val="20"/>
          <w:szCs w:val="20"/>
        </w:rPr>
        <w:t xml:space="preserve">Slack / Teams integration for in-app notifications</w:t>
      </w:r>
    </w:p>
    <w:p>
      <w:pPr>
        <w:pStyle w:val="ListParagraph"/>
        <w:numPr>
          <w:ilvl w:val="0"/>
          <w:numId w:val="2"/>
        </w:numPr>
        <w:spacing w:after="60" w:before="0"/>
      </w:pPr>
      <w:r>
        <w:rPr>
          <w:rFonts w:ascii="Arial" w:cs="Arial" w:eastAsia="Arial" w:hAnsi="Arial"/>
          <w:color w:val="1E2D3D"/>
          <w:sz w:val="20"/>
          <w:szCs w:val="20"/>
        </w:rPr>
        <w:t xml:space="preserve">Jira / Smartsheet / ServiceNow bi-directional task sync</w:t>
      </w:r>
    </w:p>
    <w:p>
      <w:pPr>
        <w:spacing w:after="120" w:before="0"/>
      </w:pPr>
      <w:r>
        <w:t xml:space="preserve"/>
      </w:r>
    </w:p>
    <w:p>
      <w:pPr>
        <w:pStyle w:val="Heading2"/>
        <w:spacing w:after="100" w:before="240"/>
      </w:pPr>
      <w:r>
        <w:rPr>
          <w:rFonts w:ascii="Arial" w:cs="Arial" w:eastAsia="Arial" w:hAnsi="Arial"/>
          <w:b/>
          <w:bCs/>
          <w:color w:val="0072CE"/>
          <w:sz w:val="26"/>
          <w:szCs w:val="26"/>
        </w:rPr>
        <w:t xml:space="preserve">Could Have — Phase 3</w:t>
      </w:r>
    </w:p>
    <w:p>
      <w:pPr>
        <w:pStyle w:val="ListParagraph"/>
        <w:numPr>
          <w:ilvl w:val="0"/>
          <w:numId w:val="2"/>
        </w:numPr>
        <w:spacing w:after="60" w:before="0"/>
      </w:pPr>
      <w:r>
        <w:rPr>
          <w:rFonts w:ascii="Arial" w:cs="Arial" w:eastAsia="Arial" w:hAnsi="Arial"/>
          <w:color w:val="1E2D3D"/>
          <w:sz w:val="20"/>
          <w:szCs w:val="20"/>
        </w:rPr>
        <w:t xml:space="preserve">AI chatbot — natural language project status queries</w:t>
      </w:r>
    </w:p>
    <w:p>
      <w:pPr>
        <w:pStyle w:val="ListParagraph"/>
        <w:numPr>
          <w:ilvl w:val="0"/>
          <w:numId w:val="2"/>
        </w:numPr>
        <w:spacing w:after="60" w:before="0"/>
      </w:pPr>
      <w:r>
        <w:rPr>
          <w:rFonts w:ascii="Arial" w:cs="Arial" w:eastAsia="Arial" w:hAnsi="Arial"/>
          <w:color w:val="1E2D3D"/>
          <w:sz w:val="20"/>
          <w:szCs w:val="20"/>
        </w:rPr>
        <w:t xml:space="preserve">Predictive benchmarking vs. industry average launch times</w:t>
      </w:r>
    </w:p>
    <w:p>
      <w:pPr>
        <w:pStyle w:val="ListParagraph"/>
        <w:numPr>
          <w:ilvl w:val="0"/>
          <w:numId w:val="2"/>
        </w:numPr>
        <w:spacing w:after="60" w:before="0"/>
      </w:pPr>
      <w:r>
        <w:rPr>
          <w:rFonts w:ascii="Arial" w:cs="Arial" w:eastAsia="Arial" w:hAnsi="Arial"/>
          <w:color w:val="1E2D3D"/>
          <w:sz w:val="20"/>
          <w:szCs w:val="20"/>
        </w:rPr>
        <w:t xml:space="preserve">HSM key ceremony digital workflow integration</w:t>
      </w:r>
    </w:p>
    <w:p>
      <w:pPr>
        <w:pStyle w:val="ListParagraph"/>
        <w:numPr>
          <w:ilvl w:val="0"/>
          <w:numId w:val="2"/>
        </w:numPr>
        <w:spacing w:after="60" w:before="0"/>
      </w:pPr>
      <w:r>
        <w:rPr>
          <w:rFonts w:ascii="Arial" w:cs="Arial" w:eastAsia="Arial" w:hAnsi="Arial"/>
          <w:color w:val="1E2D3D"/>
          <w:sz w:val="20"/>
          <w:szCs w:val="20"/>
        </w:rPr>
        <w:t xml:space="preserve">Mobile app for on-the-go status updates</w:t>
      </w:r>
    </w:p>
    <w:p>
      <w:pPr>
        <w:pStyle w:val="ListParagraph"/>
        <w:numPr>
          <w:ilvl w:val="0"/>
          <w:numId w:val="2"/>
        </w:numPr>
        <w:spacing w:after="60" w:before="0"/>
      </w:pPr>
      <w:r>
        <w:rPr>
          <w:rFonts w:ascii="Arial" w:cs="Arial" w:eastAsia="Arial" w:hAnsi="Arial"/>
          <w:color w:val="1E2D3D"/>
          <w:sz w:val="20"/>
          <w:szCs w:val="20"/>
        </w:rPr>
        <w:t xml:space="preserve">Document vault per step (SOW, approval letters, non-liability letters)</w:t>
      </w:r>
    </w:p>
    <w:p>
      <w:pPr>
        <w:spacing w:after="120" w:before="0"/>
      </w:pPr>
      <w:r>
        <w:t xml:space="preserve"/>
      </w:r>
    </w:p>
    <w:p>
      <w:pPr>
        <w:pStyle w:val="Heading2"/>
        <w:spacing w:after="100" w:before="240"/>
      </w:pPr>
      <w:r>
        <w:rPr>
          <w:rFonts w:ascii="Arial" w:cs="Arial" w:eastAsia="Arial" w:hAnsi="Arial"/>
          <w:b/>
          <w:bCs/>
          <w:color w:val="0072CE"/>
          <w:sz w:val="26"/>
          <w:szCs w:val="26"/>
        </w:rPr>
        <w:t xml:space="preserve">Won't Have (This Release)</w:t>
      </w:r>
    </w:p>
    <w:p>
      <w:pPr>
        <w:pStyle w:val="ListParagraph"/>
        <w:numPr>
          <w:ilvl w:val="0"/>
          <w:numId w:val="2"/>
        </w:numPr>
        <w:spacing w:after="60" w:before="0"/>
      </w:pPr>
      <w:r>
        <w:rPr>
          <w:rFonts w:ascii="Arial" w:cs="Arial" w:eastAsia="Arial" w:hAnsi="Arial"/>
          <w:color w:val="1E2D3D"/>
          <w:sz w:val="20"/>
          <w:szCs w:val="20"/>
        </w:rPr>
        <w:t xml:space="preserve">Full ERP integration (SAP, Oracle)</w:t>
      </w:r>
    </w:p>
    <w:p>
      <w:pPr>
        <w:pStyle w:val="ListParagraph"/>
        <w:numPr>
          <w:ilvl w:val="0"/>
          <w:numId w:val="2"/>
        </w:numPr>
        <w:spacing w:after="60" w:before="0"/>
      </w:pPr>
      <w:r>
        <w:rPr>
          <w:rFonts w:ascii="Arial" w:cs="Arial" w:eastAsia="Arial" w:hAnsi="Arial"/>
          <w:color w:val="1E2D3D"/>
          <w:sz w:val="20"/>
          <w:szCs w:val="20"/>
        </w:rPr>
        <w:t xml:space="preserve">Physical HSM management</w:t>
      </w:r>
    </w:p>
    <w:p>
      <w:pPr>
        <w:pStyle w:val="ListParagraph"/>
        <w:numPr>
          <w:ilvl w:val="0"/>
          <w:numId w:val="2"/>
        </w:numPr>
        <w:spacing w:after="60" w:before="0"/>
      </w:pPr>
      <w:r>
        <w:rPr>
          <w:rFonts w:ascii="Arial" w:cs="Arial" w:eastAsia="Arial" w:hAnsi="Arial"/>
          <w:color w:val="1E2D3D"/>
          <w:sz w:val="20"/>
          <w:szCs w:val="20"/>
        </w:rPr>
        <w:t xml:space="preserve">Card design tooling</w:t>
      </w:r>
    </w:p>
    <w:p>
      <w:pPr>
        <w:pStyle w:val="ListParagraph"/>
        <w:numPr>
          <w:ilvl w:val="0"/>
          <w:numId w:val="2"/>
        </w:numPr>
        <w:spacing w:after="60" w:before="0"/>
      </w:pPr>
      <w:r>
        <w:rPr>
          <w:rFonts w:ascii="Arial" w:cs="Arial" w:eastAsia="Arial" w:hAnsi="Arial"/>
          <w:color w:val="1E2D3D"/>
          <w:sz w:val="20"/>
          <w:szCs w:val="20"/>
        </w:rPr>
        <w:t xml:space="preserve">Customer-facing cardholder features</w:t>
      </w:r>
    </w:p>
    <w:p>
      <w:pPr>
        <w:pStyle w:val="ListParagraph"/>
        <w:numPr>
          <w:ilvl w:val="0"/>
          <w:numId w:val="2"/>
        </w:numPr>
        <w:spacing w:after="60" w:before="0"/>
      </w:pPr>
      <w:r>
        <w:rPr>
          <w:rFonts w:ascii="Arial" w:cs="Arial" w:eastAsia="Arial" w:hAnsi="Arial"/>
          <w:color w:val="1E2D3D"/>
          <w:sz w:val="20"/>
          <w:szCs w:val="20"/>
        </w:rPr>
        <w:t xml:space="preserve">Network billing / settlement processing</w:t>
      </w:r>
    </w:p>
    <w:p>
      <w:pPr>
        <w:spacing w:after="120" w:before="0"/>
      </w:pPr>
      <w:r>
        <w:t xml:space="preserve"/>
      </w:r>
    </w:p>
    <w:p>
      <w:pPr>
        <w:pStyle w:val="Heading1"/>
        <w:pageBreakBefore/>
        <w:spacing w:after="160" w:before="320"/>
      </w:pPr>
      <w:r>
        <w:rPr>
          <w:rFonts w:ascii="Arial" w:cs="Arial" w:eastAsia="Arial" w:hAnsi="Arial"/>
          <w:b/>
          <w:bCs/>
          <w:color w:val="1A3A5C"/>
          <w:sz w:val="36"/>
          <w:szCs w:val="36"/>
        </w:rPr>
        <w:t xml:space="preserve">5. Roadmap</w:t>
      </w:r>
    </w:p>
    <w:p>
      <w:pPr>
        <w:pBdr>
          <w:bottom w:val="single" w:color="0072CE" w:sz="4"/>
        </w:pBd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2016"/>
        <w:gridCol w:w="2520"/>
        <w:gridCol w:w="4284"/>
      </w:tblGrid>
      <w:tr>
        <w:trPr>
          <w:tblHeader/>
        </w:trPr>
        <w:tc>
          <w:tcPr>
            <w:tcW w:type="dxa" w:w="12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2016"/>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c>
          <w:tcPr>
            <w:tcW w:type="dxa" w:w="25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Theme</w:t>
            </w:r>
          </w:p>
        </w:tc>
        <w:tc>
          <w:tcPr>
            <w:tcW w:type="dxa" w:w="4284"/>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Deliverables</w:t>
            </w:r>
          </w:p>
        </w:tc>
      </w:tr>
      <w:tr>
        <w:tc>
          <w:tcPr>
            <w:tcW w:type="dxa" w:w="12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Phase 1</w:t>
            </w:r>
          </w:p>
        </w:tc>
        <w:tc>
          <w:tcPr>
            <w:tcW w:type="dxa" w:w="2016"/>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Jun – Jul 2026</w:t>
            </w:r>
          </w:p>
        </w:tc>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Core Tracker + Portal</w:t>
            </w:r>
          </w:p>
        </w:tc>
        <w:tc>
          <w:tcPr>
            <w:tcW w:type="dxa" w:w="4284"/>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31-step tracker, Excel/Smartsheet/Jira import, role-based portal, dependency blocking, email reminders, audit log, Card Key elevated workflow</w:t>
            </w:r>
          </w:p>
        </w:tc>
      </w:tr>
      <w:tr>
        <w:tc>
          <w:tcPr>
            <w:tcW w:type="dxa" w:w="126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Phase 2</w:t>
            </w:r>
          </w:p>
        </w:tc>
        <w:tc>
          <w:tcPr>
            <w:tcW w:type="dxa" w:w="2016"/>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Aug – Sep 2026</w:t>
            </w:r>
          </w:p>
        </w:tc>
        <w:tc>
          <w:tcPr>
            <w:tcW w:type="dxa" w:w="252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AI Intelligence Layer</w:t>
            </w:r>
          </w:p>
        </w:tc>
        <w:tc>
          <w:tcPr>
            <w:tcW w:type="dxa" w:w="4284"/>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AI risk predictor, AI smart nudges, weekly AI executive summary, critical path highlighting, Slack/Teams integration, Jira &amp; Smartsheet bi-directional sync</w:t>
            </w:r>
          </w:p>
        </w:tc>
      </w:tr>
      <w:tr>
        <w:tc>
          <w:tcPr>
            <w:tcW w:type="dxa" w:w="12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Phase 3</w:t>
            </w:r>
          </w:p>
        </w:tc>
        <w:tc>
          <w:tcPr>
            <w:tcW w:type="dxa" w:w="2016"/>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Oct – Dec 2026</w:t>
            </w:r>
          </w:p>
        </w:tc>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Extended Intelligence</w:t>
            </w:r>
          </w:p>
        </w:tc>
        <w:tc>
          <w:tcPr>
            <w:tcW w:type="dxa" w:w="4284"/>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Conversational AI chatbot, benchmarking vs. industry timelines, document vault, MDES tokenisation readiness check, HSM digital ceremony, mobile app</w:t>
            </w:r>
          </w:p>
        </w:tc>
      </w:tr>
      <w:tr>
        <w:tc>
          <w:tcPr>
            <w:tcW w:type="dxa" w:w="126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Phase 4</w:t>
            </w:r>
          </w:p>
        </w:tc>
        <w:tc>
          <w:tcPr>
            <w:tcW w:type="dxa" w:w="2016"/>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Q1 2027</w:t>
            </w:r>
          </w:p>
        </w:tc>
        <w:tc>
          <w:tcPr>
            <w:tcW w:type="dxa" w:w="252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Enterprise Scale</w:t>
            </w:r>
          </w:p>
        </w:tc>
        <w:tc>
          <w:tcPr>
            <w:tcW w:type="dxa" w:w="4284"/>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ERP integrations (SAP/Oracle), multi-region BIN support, ServiceNow connector, SOC 2 Type II, white-label offering</w:t>
            </w:r>
          </w:p>
        </w:tc>
      </w:tr>
    </w:tbl>
    <w:p>
      <w:pPr>
        <w:spacing w:after="120" w:before="0"/>
      </w:pPr>
      <w:r>
        <w:t xml:space="preserve"/>
      </w:r>
    </w:p>
    <w:p>
      <w:pPr>
        <w:pStyle w:val="Heading1"/>
        <w:pageBreakBefore/>
        <w:spacing w:after="160" w:before="320"/>
      </w:pPr>
      <w:r>
        <w:rPr>
          <w:rFonts w:ascii="Arial" w:cs="Arial" w:eastAsia="Arial" w:hAnsi="Arial"/>
          <w:b/>
          <w:bCs/>
          <w:color w:val="1A3A5C"/>
          <w:sz w:val="36"/>
          <w:szCs w:val="36"/>
        </w:rPr>
        <w:t xml:space="preserve">6. Evaluation Plan</w:t>
      </w:r>
    </w:p>
    <w:p>
      <w:pPr>
        <w:pBdr>
          <w:bottom w:val="single" w:color="0072CE" w:sz="4"/>
        </w:pBdr>
        <w:spacing w:after="80" w:before="0"/>
      </w:pPr>
    </w:p>
    <w:p>
      <w:pPr>
        <w:pStyle w:val="Heading2"/>
        <w:spacing w:after="100" w:before="240"/>
      </w:pPr>
      <w:r>
        <w:rPr>
          <w:rFonts w:ascii="Arial" w:cs="Arial" w:eastAsia="Arial" w:hAnsi="Arial"/>
          <w:b/>
          <w:bCs/>
          <w:color w:val="0072CE"/>
          <w:sz w:val="26"/>
          <w:szCs w:val="26"/>
        </w:rPr>
        <w:t xml:space="preserve">Testing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772"/>
        <w:gridCol w:w="2016"/>
        <w:gridCol w:w="3276"/>
      </w:tblGrid>
      <w:tr>
        <w:trPr>
          <w:tblHeader/>
        </w:trPr>
        <w:tc>
          <w:tcPr>
            <w:tcW w:type="dxa" w:w="2016"/>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Type</w:t>
            </w:r>
          </w:p>
        </w:tc>
        <w:tc>
          <w:tcPr>
            <w:tcW w:type="dxa" w:w="2772"/>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W w:type="dxa" w:w="2016"/>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Responsible</w:t>
            </w:r>
          </w:p>
        </w:tc>
        <w:tc>
          <w:tcPr>
            <w:tcW w:type="dxa" w:w="3276"/>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Exit Criteria</w:t>
            </w:r>
          </w:p>
        </w:tc>
      </w:tr>
      <w:tr>
        <w:tc>
          <w:tcPr>
            <w:tcW w:type="dxa" w:w="2016"/>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Unit Testing</w:t>
            </w:r>
          </w:p>
        </w:tc>
        <w:tc>
          <w:tcPr>
            <w:tcW w:type="dxa" w:w="2772"/>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Dependency engine, date calculation, step state machine</w:t>
            </w:r>
          </w:p>
        </w:tc>
        <w:tc>
          <w:tcPr>
            <w:tcW w:type="dxa" w:w="2016"/>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Engineering</w:t>
            </w:r>
          </w:p>
        </w:tc>
        <w:tc>
          <w:tcPr>
            <w:tcW w:type="dxa" w:w="3276"/>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100% coverage on dependency and state logic</w:t>
            </w:r>
          </w:p>
        </w:tc>
      </w:tr>
      <w:tr>
        <w:tc>
          <w:tcPr>
            <w:tcW w:type="dxa" w:w="2016"/>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Integration Testing</w:t>
            </w:r>
          </w:p>
        </w:tc>
        <w:tc>
          <w:tcPr>
            <w:tcW w:type="dxa" w:w="2772"/>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Excel/Smartsheet/Jira import, Jira sync, email/Slack triggers</w:t>
            </w:r>
          </w:p>
        </w:tc>
        <w:tc>
          <w:tcPr>
            <w:tcW w:type="dxa" w:w="2016"/>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Engineering + QA</w:t>
            </w:r>
          </w:p>
        </w:tc>
        <w:tc>
          <w:tcPr>
            <w:tcW w:type="dxa" w:w="3276"/>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Zero data loss on import; notification delivery &gt;= 99%</w:t>
            </w:r>
          </w:p>
        </w:tc>
      </w:tr>
      <w:tr>
        <w:tc>
          <w:tcPr>
            <w:tcW w:type="dxa" w:w="2016"/>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UAT — Phase 1</w:t>
            </w:r>
          </w:p>
        </w:tc>
        <w:tc>
          <w:tcPr>
            <w:tcW w:type="dxa" w:w="2772"/>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2 pilot Issuer PMs complete a simulated BIN procurement in the tracker</w:t>
            </w:r>
          </w:p>
        </w:tc>
        <w:tc>
          <w:tcPr>
            <w:tcW w:type="dxa" w:w="2016"/>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Product + Pilot Users</w:t>
            </w:r>
          </w:p>
        </w:tc>
        <w:tc>
          <w:tcPr>
            <w:tcW w:type="dxa" w:w="3276"/>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Task success rate &gt;= 90%; SUS score &gt;= 70</w:t>
            </w:r>
          </w:p>
        </w:tc>
      </w:tr>
      <w:tr>
        <w:tc>
          <w:tcPr>
            <w:tcW w:type="dxa" w:w="2016"/>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AI Prompt Evaluation</w:t>
            </w:r>
          </w:p>
        </w:tc>
        <w:tc>
          <w:tcPr>
            <w:tcW w:type="dxa" w:w="2772"/>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Risk predictor and nudge generator tested on 20 historical project datasets</w:t>
            </w:r>
          </w:p>
        </w:tc>
        <w:tc>
          <w:tcPr>
            <w:tcW w:type="dxa" w:w="2016"/>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AI/ML team + Product</w:t>
            </w:r>
          </w:p>
        </w:tc>
        <w:tc>
          <w:tcPr>
            <w:tcW w:type="dxa" w:w="3276"/>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Risk detection precision &gt;= 80%; nudge relevance &gt;= 4/5</w:t>
            </w:r>
          </w:p>
        </w:tc>
      </w:tr>
      <w:tr>
        <w:tc>
          <w:tcPr>
            <w:tcW w:type="dxa" w:w="2016"/>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Security Testing</w:t>
            </w:r>
          </w:p>
        </w:tc>
        <w:tc>
          <w:tcPr>
            <w:tcW w:type="dxa" w:w="2772"/>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Role-based access, card key elevated workflow, audit log integrity</w:t>
            </w:r>
          </w:p>
        </w:tc>
        <w:tc>
          <w:tcPr>
            <w:tcW w:type="dxa" w:w="2016"/>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Security team</w:t>
            </w:r>
          </w:p>
        </w:tc>
        <w:tc>
          <w:tcPr>
            <w:tcW w:type="dxa" w:w="3276"/>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Zero privilege escalation; audit log tamper-proof</w:t>
            </w:r>
          </w:p>
        </w:tc>
      </w:tr>
      <w:tr>
        <w:tc>
          <w:tcPr>
            <w:tcW w:type="dxa" w:w="2016"/>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Performance Testing</w:t>
            </w:r>
          </w:p>
        </w:tc>
        <w:tc>
          <w:tcPr>
            <w:tcW w:type="dxa" w:w="2772"/>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Dashboard load with 50 concurrent projects, 200 concurrent users</w:t>
            </w:r>
          </w:p>
        </w:tc>
        <w:tc>
          <w:tcPr>
            <w:tcW w:type="dxa" w:w="2016"/>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Engineering</w:t>
            </w:r>
          </w:p>
        </w:tc>
        <w:tc>
          <w:tcPr>
            <w:tcW w:type="dxa" w:w="3276"/>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Page load &lt; 2s at P95; API response &lt; 500ms at P95</w:t>
            </w:r>
          </w:p>
        </w:tc>
      </w:tr>
    </w:tbl>
    <w:p>
      <w:pPr>
        <w:spacing w:after="120" w:before="0"/>
      </w:pPr>
      <w:r>
        <w:t xml:space="preserve"/>
      </w:r>
    </w:p>
    <w:p>
      <w:pPr>
        <w:pStyle w:val="Heading2"/>
        <w:spacing w:after="100" w:before="240"/>
      </w:pPr>
      <w:r>
        <w:rPr>
          <w:rFonts w:ascii="Arial" w:cs="Arial" w:eastAsia="Arial" w:hAnsi="Arial"/>
          <w:b/>
          <w:bCs/>
          <w:color w:val="0072CE"/>
          <w:sz w:val="26"/>
          <w:szCs w:val="26"/>
        </w:rPr>
        <w:t xml:space="preserve">AI Evaluation Framework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4032"/>
        <w:gridCol w:w="3528"/>
      </w:tblGrid>
      <w:tr>
        <w:trPr>
          <w:tblHeader/>
        </w:trPr>
        <w:tc>
          <w:tcPr>
            <w:tcW w:type="dxa" w:w="25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AI Feature</w:t>
            </w:r>
          </w:p>
        </w:tc>
        <w:tc>
          <w:tcPr>
            <w:tcW w:type="dxa" w:w="4032"/>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Evaluation Method</w:t>
            </w:r>
          </w:p>
        </w:tc>
        <w:tc>
          <w:tcPr>
            <w:tcW w:type="dxa" w:w="3528"/>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Score</w:t>
            </w:r>
          </w:p>
        </w:tc>
      </w:tr>
      <w:tr>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Risk Predictor</w:t>
            </w:r>
          </w:p>
        </w:tc>
        <w:tc>
          <w:tcPr>
            <w:tcW w:type="dxa" w:w="4032"/>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Compare AI delay flags vs. actual delays in 20 historical projects (precision/recall)</w:t>
            </w:r>
          </w:p>
        </w:tc>
        <w:tc>
          <w:tcPr>
            <w:tcW w:type="dxa" w:w="3528"/>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Precision &gt;= 0.80, Recall &gt;= 0.75</w:t>
            </w:r>
          </w:p>
        </w:tc>
      </w:tr>
      <w:tr>
        <w:tc>
          <w:tcPr>
            <w:tcW w:type="dxa" w:w="252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Smart Nudges</w:t>
            </w:r>
          </w:p>
        </w:tc>
        <w:tc>
          <w:tcPr>
            <w:tcW w:type="dxa" w:w="4032"/>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Human rater panel (5 PMs) score relevance, tone, urgency on 50 generated nudges</w:t>
            </w:r>
          </w:p>
        </w:tc>
        <w:tc>
          <w:tcPr>
            <w:tcW w:type="dxa" w:w="3528"/>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Avg. rating &gt;= 4.0 / 5.0</w:t>
            </w:r>
          </w:p>
        </w:tc>
      </w:tr>
      <w:tr>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Weekly Summary</w:t>
            </w:r>
          </w:p>
        </w:tc>
        <w:tc>
          <w:tcPr>
            <w:tcW w:type="dxa" w:w="4032"/>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Executive users rate weekly summaries for accuracy and clarity</w:t>
            </w:r>
          </w:p>
        </w:tc>
        <w:tc>
          <w:tcPr>
            <w:tcW w:type="dxa" w:w="3528"/>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Avg. rating &gt;= 4.2 / 5.0</w:t>
            </w:r>
          </w:p>
        </w:tc>
      </w:tr>
      <w:tr>
        <w:tc>
          <w:tcPr>
            <w:tcW w:type="dxa" w:w="252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Chatbot (Ph. 3)</w:t>
            </w:r>
          </w:p>
        </w:tc>
        <w:tc>
          <w:tcPr>
            <w:tcW w:type="dxa" w:w="4032"/>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100-question benchmark; compare answer accuracy vs. ground truth project data</w:t>
            </w:r>
          </w:p>
        </w:tc>
        <w:tc>
          <w:tcPr>
            <w:tcW w:type="dxa" w:w="3528"/>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Accuracy &gt;= 90%</w:t>
            </w:r>
          </w:p>
        </w:tc>
      </w:tr>
    </w:tbl>
    <w:p>
      <w:pPr>
        <w:spacing w:after="120" w:before="0"/>
      </w:pPr>
      <w:r>
        <w:t xml:space="preserve"/>
      </w:r>
    </w:p>
    <w:p>
      <w:pPr>
        <w:pStyle w:val="Heading1"/>
        <w:pageBreakBefore/>
        <w:spacing w:after="160" w:before="320"/>
      </w:pPr>
      <w:r>
        <w:rPr>
          <w:rFonts w:ascii="Arial" w:cs="Arial" w:eastAsia="Arial" w:hAnsi="Arial"/>
          <w:b/>
          <w:bCs/>
          <w:color w:val="1A3A5C"/>
          <w:sz w:val="36"/>
          <w:szCs w:val="36"/>
        </w:rPr>
        <w:t xml:space="preserve">7. Prompt Strategy</w:t>
      </w:r>
    </w:p>
    <w:p>
      <w:pPr>
        <w:pBdr>
          <w:bottom w:val="single" w:color="0072CE" w:sz="4"/>
        </w:pBdr>
        <w:spacing w:after="80" w:before="0"/>
      </w:pPr>
    </w:p>
    <w:p>
      <w:pPr>
        <w:pStyle w:val="Heading2"/>
        <w:spacing w:after="100" w:before="240"/>
      </w:pPr>
      <w:r>
        <w:rPr>
          <w:rFonts w:ascii="Arial" w:cs="Arial" w:eastAsia="Arial" w:hAnsi="Arial"/>
          <w:b/>
          <w:bCs/>
          <w:color w:val="0072CE"/>
          <w:sz w:val="26"/>
          <w:szCs w:val="26"/>
        </w:rPr>
        <w:t xml:space="preserve">Design Principles</w:t>
      </w:r>
    </w:p>
    <w:p>
      <w:pPr>
        <w:spacing w:after="80" w:before="0"/>
        <w:jc w:val="left"/>
      </w:pPr>
      <w:r>
        <w:rPr>
          <w:rFonts w:ascii="Arial" w:cs="Arial" w:eastAsia="Arial" w:hAnsi="Arial"/>
          <w:b w:val="false"/>
          <w:bCs w:val="false"/>
          <w:i w:val="false"/>
          <w:iCs w:val="false"/>
          <w:color w:val="1E2D3D"/>
          <w:sz w:val="20"/>
          <w:szCs w:val="20"/>
        </w:rPr>
        <w:t xml:space="preserve">All prompts follow four principles: Grounded (always use real project data, never hallucinate), Scoped (output length and format are explicitly constrained), Role-aware (audience and tone vary by recipient), and Auditable (every AI output is logged with its input context for traceability).</w:t>
      </w:r>
    </w:p>
    <w:p>
      <w:pPr>
        <w:spacing w:after="120" w:before="0"/>
      </w:pPr>
      <w:r>
        <w:t xml:space="preserve"/>
      </w:r>
    </w:p>
    <w:p>
      <w:pPr>
        <w:pStyle w:val="Heading2"/>
        <w:spacing w:after="100" w:before="240"/>
      </w:pPr>
      <w:r>
        <w:rPr>
          <w:rFonts w:ascii="Arial" w:cs="Arial" w:eastAsia="Arial" w:hAnsi="Arial"/>
          <w:b/>
          <w:bCs/>
          <w:color w:val="0072CE"/>
          <w:sz w:val="26"/>
          <w:szCs w:val="26"/>
        </w:rPr>
        <w:t xml:space="preserve">Prompt Templates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772"/>
        <w:gridCol w:w="2772"/>
        <w:gridCol w:w="2016"/>
      </w:tblGrid>
      <w:tr>
        <w:trPr>
          <w:tblHeader/>
        </w:trPr>
        <w:tc>
          <w:tcPr>
            <w:tcW w:type="dxa" w:w="25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Prompt</w:t>
            </w:r>
          </w:p>
        </w:tc>
        <w:tc>
          <w:tcPr>
            <w:tcW w:type="dxa" w:w="2772"/>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w:t>
            </w:r>
          </w:p>
        </w:tc>
        <w:tc>
          <w:tcPr>
            <w:tcW w:type="dxa" w:w="2772"/>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 Format</w:t>
            </w:r>
          </w:p>
        </w:tc>
        <w:tc>
          <w:tcPr>
            <w:tcW w:type="dxa" w:w="2016"/>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Length Limit</w:t>
            </w:r>
          </w:p>
        </w:tc>
      </w:tr>
      <w:tr>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Risk Predictor</w:t>
            </w:r>
          </w:p>
        </w:tc>
        <w:tc>
          <w:tcPr>
            <w:tcW w:type="dxa" w:w="2772"/>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Nightly, or when any step is marked overdue</w:t>
            </w:r>
          </w:p>
        </w:tc>
        <w:tc>
          <w:tcPr>
            <w:tcW w:type="dxa" w:w="2772"/>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JSON: {risk_score, risk_factors[], mitigation}</w:t>
            </w:r>
          </w:p>
        </w:tc>
        <w:tc>
          <w:tcPr>
            <w:tcW w:type="dxa" w:w="2016"/>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Structured JSON</w:t>
            </w:r>
          </w:p>
        </w:tc>
      </w:tr>
      <w:tr>
        <w:tc>
          <w:tcPr>
            <w:tcW w:type="dxa" w:w="252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Smart Nudge</w:t>
            </w:r>
          </w:p>
        </w:tc>
        <w:tc>
          <w:tcPr>
            <w:tcW w:type="dxa" w:w="2772"/>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Step is overdue or approaching deadline</w:t>
            </w:r>
          </w:p>
        </w:tc>
        <w:tc>
          <w:tcPr>
            <w:tcW w:type="dxa" w:w="2772"/>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Plain prose reminder message</w:t>
            </w:r>
          </w:p>
        </w:tc>
        <w:tc>
          <w:tcPr>
            <w:tcW w:type="dxa" w:w="2016"/>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&lt; 80 words</w:t>
            </w:r>
          </w:p>
        </w:tc>
      </w:tr>
      <w:tr>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Weekly Summary</w:t>
            </w:r>
          </w:p>
        </w:tc>
        <w:tc>
          <w:tcPr>
            <w:tcW w:type="dxa" w:w="2772"/>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Every Monday morning; sent to Issuer executive sponsor</w:t>
            </w:r>
          </w:p>
        </w:tc>
        <w:tc>
          <w:tcPr>
            <w:tcW w:type="dxa" w:w="2772"/>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Business prose narrative, RAG status</w:t>
            </w:r>
          </w:p>
        </w:tc>
        <w:tc>
          <w:tcPr>
            <w:tcW w:type="dxa" w:w="2016"/>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&lt; 200 words</w:t>
            </w:r>
          </w:p>
        </w:tc>
      </w:tr>
      <w:tr>
        <w:tc>
          <w:tcPr>
            <w:tcW w:type="dxa" w:w="252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Project Chatbot</w:t>
            </w:r>
          </w:p>
        </w:tc>
        <w:tc>
          <w:tcPr>
            <w:tcW w:type="dxa" w:w="2772"/>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User natural language question (Phase 3)</w:t>
            </w:r>
          </w:p>
        </w:tc>
        <w:tc>
          <w:tcPr>
            <w:tcW w:type="dxa" w:w="2772"/>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Plain prose answer, grounded in project data only</w:t>
            </w:r>
          </w:p>
        </w:tc>
        <w:tc>
          <w:tcPr>
            <w:tcW w:type="dxa" w:w="2016"/>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&lt; 3 sentences</w:t>
            </w:r>
          </w:p>
        </w:tc>
      </w:tr>
    </w:tbl>
    <w:p>
      <w:pPr>
        <w:spacing w:after="120" w:before="0"/>
      </w:pPr>
      <w:r>
        <w:t xml:space="preserve"/>
      </w:r>
    </w:p>
    <w:p>
      <w:pPr>
        <w:pStyle w:val="Heading2"/>
        <w:spacing w:after="100" w:before="240"/>
      </w:pPr>
      <w:r>
        <w:rPr>
          <w:rFonts w:ascii="Arial" w:cs="Arial" w:eastAsia="Arial" w:hAnsi="Arial"/>
          <w:b/>
          <w:bCs/>
          <w:color w:val="0072CE"/>
          <w:sz w:val="26"/>
          <w:szCs w:val="26"/>
        </w:rPr>
        <w:t xml:space="preserve">AI Guardrails</w:t>
      </w:r>
    </w:p>
    <w:p>
      <w:pPr>
        <w:pStyle w:val="ListParagraph"/>
        <w:numPr>
          <w:ilvl w:val="0"/>
          <w:numId w:val="2"/>
        </w:numPr>
        <w:spacing w:after="60" w:before="0"/>
      </w:pPr>
      <w:r>
        <w:rPr>
          <w:rFonts w:ascii="Arial" w:cs="Arial" w:eastAsia="Arial" w:hAnsi="Arial"/>
          <w:color w:val="1E2D3D"/>
          <w:sz w:val="20"/>
          <w:szCs w:val="20"/>
        </w:rPr>
        <w:t xml:space="preserve">Input validation on all data injected into prompts</w:t>
      </w:r>
    </w:p>
    <w:p>
      <w:pPr>
        <w:pStyle w:val="ListParagraph"/>
        <w:numPr>
          <w:ilvl w:val="0"/>
          <w:numId w:val="2"/>
        </w:numPr>
        <w:spacing w:after="60" w:before="0"/>
      </w:pPr>
      <w:r>
        <w:rPr>
          <w:rFonts w:ascii="Arial" w:cs="Arial" w:eastAsia="Arial" w:hAnsi="Arial"/>
          <w:color w:val="1E2D3D"/>
          <w:sz w:val="20"/>
          <w:szCs w:val="20"/>
        </w:rPr>
        <w:t xml:space="preserve">Output length limits enforced on every prompt</w:t>
      </w:r>
    </w:p>
    <w:p>
      <w:pPr>
        <w:pStyle w:val="ListParagraph"/>
        <w:numPr>
          <w:ilvl w:val="0"/>
          <w:numId w:val="2"/>
        </w:numPr>
        <w:spacing w:after="60" w:before="0"/>
      </w:pPr>
      <w:r>
        <w:rPr>
          <w:rFonts w:ascii="Arial" w:cs="Arial" w:eastAsia="Arial" w:hAnsi="Arial"/>
          <w:color w:val="1E2D3D"/>
          <w:sz w:val="20"/>
          <w:szCs w:val="20"/>
        </w:rPr>
        <w:t xml:space="preserve">No PII in prompts — step owners are anonymised before injection</w:t>
      </w:r>
    </w:p>
    <w:p>
      <w:pPr>
        <w:pStyle w:val="ListParagraph"/>
        <w:numPr>
          <w:ilvl w:val="0"/>
          <w:numId w:val="2"/>
        </w:numPr>
        <w:spacing w:after="60" w:before="0"/>
      </w:pPr>
      <w:r>
        <w:rPr>
          <w:rFonts w:ascii="Arial" w:cs="Arial" w:eastAsia="Arial" w:hAnsi="Arial"/>
          <w:color w:val="1E2D3D"/>
          <w:sz w:val="20"/>
          <w:szCs w:val="20"/>
        </w:rPr>
        <w:t xml:space="preserve">All AI outputs reviewed by PM before escalation actions are taken</w:t>
      </w:r>
    </w:p>
    <w:p>
      <w:pPr>
        <w:pStyle w:val="ListParagraph"/>
        <w:numPr>
          <w:ilvl w:val="0"/>
          <w:numId w:val="2"/>
        </w:numPr>
        <w:spacing w:after="60" w:before="0"/>
      </w:pPr>
      <w:r>
        <w:rPr>
          <w:rFonts w:ascii="Arial" w:cs="Arial" w:eastAsia="Arial" w:hAnsi="Arial"/>
          <w:color w:val="1E2D3D"/>
          <w:sz w:val="20"/>
          <w:szCs w:val="20"/>
        </w:rPr>
        <w:t xml:space="preserve">Confidence score threshold: risk score only sent if model confidence &gt; 0.75</w:t>
      </w:r>
    </w:p>
    <w:p>
      <w:pPr>
        <w:pStyle w:val="ListParagraph"/>
        <w:numPr>
          <w:ilvl w:val="0"/>
          <w:numId w:val="2"/>
        </w:numPr>
        <w:spacing w:after="60" w:before="0"/>
      </w:pPr>
      <w:r>
        <w:rPr>
          <w:rFonts w:ascii="Arial" w:cs="Arial" w:eastAsia="Arial" w:hAnsi="Arial"/>
          <w:color w:val="1E2D3D"/>
          <w:sz w:val="20"/>
          <w:szCs w:val="20"/>
        </w:rPr>
        <w:t xml:space="preserve">Human override on every AI suggestion — no fully autonomous actions</w:t>
      </w:r>
    </w:p>
    <w:p>
      <w:pPr>
        <w:pStyle w:val="ListParagraph"/>
        <w:numPr>
          <w:ilvl w:val="0"/>
          <w:numId w:val="2"/>
        </w:numPr>
        <w:spacing w:after="60" w:before="0"/>
      </w:pPr>
      <w:r>
        <w:rPr>
          <w:rFonts w:ascii="Arial" w:cs="Arial" w:eastAsia="Arial" w:hAnsi="Arial"/>
          <w:color w:val="1E2D3D"/>
          <w:sz w:val="20"/>
          <w:szCs w:val="20"/>
        </w:rPr>
        <w:t xml:space="preserve">All AI prompt/response pairs stored in immutable audit log</w:t>
      </w:r>
    </w:p>
    <w:p>
      <w:pPr>
        <w:spacing w:after="120" w:before="0"/>
      </w:pPr>
      <w:r>
        <w:t xml:space="preserve"/>
      </w:r>
    </w:p>
    <w:p>
      <w:pPr>
        <w:pStyle w:val="Heading1"/>
        <w:pageBreakBefore/>
        <w:spacing w:after="160" w:before="320"/>
      </w:pPr>
      <w:r>
        <w:rPr>
          <w:rFonts w:ascii="Arial" w:cs="Arial" w:eastAsia="Arial" w:hAnsi="Arial"/>
          <w:b/>
          <w:bCs/>
          <w:color w:val="1A3A5C"/>
          <w:sz w:val="36"/>
          <w:szCs w:val="36"/>
        </w:rPr>
        <w:t xml:space="preserve">8. Responsible AI Risk &amp; Mitigation</w:t>
      </w:r>
    </w:p>
    <w:p>
      <w:pPr>
        <w:pBdr>
          <w:bottom w:val="single" w:color="0072CE" w:sz="4"/>
        </w:pBdr>
        <w:spacing w:after="80" w:before="0"/>
      </w:pPr>
    </w:p>
    <w:p>
      <w:pPr>
        <w:pBdr>
          <w:left w:val="single" w:color="C47A00" w:sz="12"/>
        </w:pBdr>
        <w:shd w:fill="FEF8EE" w:val="clear"/>
        <w:spacing w:after="120" w:before="120"/>
        <w:ind w:left="200"/>
      </w:pPr>
      <w:r>
        <w:rPr>
          <w:rFonts w:ascii="Arial" w:cs="Arial" w:eastAsia="Arial" w:hAnsi="Arial"/>
          <w:color w:val="1E2D3D"/>
          <w:sz w:val="20"/>
          <w:szCs w:val="20"/>
        </w:rPr>
        <w:t xml:space="preserve">This product operates in the regulated payments domain. AI features interact with sensitive project data including card key management workflows, non-liability letters, and multi-party settlement processes. All AI risks below are assessed with this context in mind.</w:t>
      </w:r>
    </w:p>
    <w:p>
      <w:pPr>
        <w:spacing w:after="12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1764"/>
        <w:gridCol w:w="1134"/>
        <w:gridCol w:w="4158"/>
      </w:tblGrid>
      <w:tr>
        <w:trPr>
          <w:tblHeader/>
        </w:trPr>
        <w:tc>
          <w:tcPr>
            <w:tcW w:type="dxa" w:w="3024"/>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764"/>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1134"/>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4158"/>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3024"/>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AI hallucination in risk prediction — fabricated delay scenario causes false escalation</w:t>
            </w:r>
          </w:p>
        </w:tc>
        <w:tc>
          <w:tcPr>
            <w:tcW w:type="dxa" w:w="1764"/>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Accuracy</w:t>
            </w:r>
          </w:p>
        </w:tc>
        <w:tc>
          <w:tcPr>
            <w:tcW w:type="dxa" w:w="1134"/>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HIGH</w:t>
            </w:r>
          </w:p>
        </w:tc>
        <w:tc>
          <w:tcPr>
            <w:tcW w:type="dxa" w:w="4158"/>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Strict grounded prompting; confidence threshold &gt;= 0.75; human PM review before any escalation action</w:t>
            </w:r>
          </w:p>
        </w:tc>
      </w:tr>
      <w:tr>
        <w:tc>
          <w:tcPr>
            <w:tcW w:type="dxa" w:w="3024"/>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Sensitive key management data in prompts — Steps 9-12 include cryptographic references</w:t>
            </w:r>
          </w:p>
        </w:tc>
        <w:tc>
          <w:tcPr>
            <w:tcW w:type="dxa" w:w="1764"/>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Security</w:t>
            </w:r>
          </w:p>
        </w:tc>
        <w:tc>
          <w:tcPr>
            <w:tcW w:type="dxa" w:w="1134"/>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HIGH</w:t>
            </w:r>
          </w:p>
        </w:tc>
        <w:tc>
          <w:tcPr>
            <w:tcW w:type="dxa" w:w="4158"/>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Key steps are AI-excluded by default; AI receives only step status (ToDo/Done), never key values or HSM references</w:t>
            </w:r>
          </w:p>
        </w:tc>
      </w:tr>
      <w:tr>
        <w:tc>
          <w:tcPr>
            <w:tcW w:type="dxa" w:w="3024"/>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Biased nudge tone causing stakeholder friction</w:t>
            </w:r>
          </w:p>
        </w:tc>
        <w:tc>
          <w:tcPr>
            <w:tcW w:type="dxa" w:w="1764"/>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Fairness / Tone</w:t>
            </w:r>
          </w:p>
        </w:tc>
        <w:tc>
          <w:tcPr>
            <w:tcW w:type="dxa" w:w="1134"/>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MEDIUM</w:t>
            </w:r>
          </w:p>
        </w:tc>
        <w:tc>
          <w:tcPr>
            <w:tcW w:type="dxa" w:w="4158"/>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Explicit tone guardrail in system prompt; PM can edit before send; A/B test nudge variants</w:t>
            </w:r>
          </w:p>
        </w:tc>
      </w:tr>
      <w:tr>
        <w:tc>
          <w:tcPr>
            <w:tcW w:type="dxa" w:w="3024"/>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Over-reliance on AI risk score — PM stops exercising independent judgment</w:t>
            </w:r>
          </w:p>
        </w:tc>
        <w:tc>
          <w:tcPr>
            <w:tcW w:type="dxa" w:w="1764"/>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Human Oversight</w:t>
            </w:r>
          </w:p>
        </w:tc>
        <w:tc>
          <w:tcPr>
            <w:tcW w:type="dxa" w:w="1134"/>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MEDIUM</w:t>
            </w:r>
          </w:p>
        </w:tc>
        <w:tc>
          <w:tcPr>
            <w:tcW w:type="dxa" w:w="4158"/>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AI outputs clearly labelled 'AI Suggested'; training material for PMs on AI limitations; mandatory override option</w:t>
            </w:r>
          </w:p>
        </w:tc>
      </w:tr>
      <w:tr>
        <w:tc>
          <w:tcPr>
            <w:tcW w:type="dxa" w:w="3024"/>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Data residency / cross-border PII — project data shared across jurisdictions</w:t>
            </w:r>
          </w:p>
        </w:tc>
        <w:tc>
          <w:tcPr>
            <w:tcW w:type="dxa" w:w="1764"/>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Privacy / Compliance</w:t>
            </w:r>
          </w:p>
        </w:tc>
        <w:tc>
          <w:tcPr>
            <w:tcW w:type="dxa" w:w="1134"/>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HIGH</w:t>
            </w:r>
          </w:p>
        </w:tc>
        <w:tc>
          <w:tcPr>
            <w:tcW w:type="dxa" w:w="4158"/>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PII stripped before LLM prompt injection; regional data residency options; GDPR Article 25 compliance</w:t>
            </w:r>
          </w:p>
        </w:tc>
      </w:tr>
      <w:tr>
        <w:tc>
          <w:tcPr>
            <w:tcW w:type="dxa" w:w="3024"/>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AI chatbot gives incorrect compliance guidance on non-liability letter requirements</w:t>
            </w:r>
          </w:p>
        </w:tc>
        <w:tc>
          <w:tcPr>
            <w:tcW w:type="dxa" w:w="1764"/>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Accuracy / Legal</w:t>
            </w:r>
          </w:p>
        </w:tc>
        <w:tc>
          <w:tcPr>
            <w:tcW w:type="dxa" w:w="1134"/>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HIGH</w:t>
            </w:r>
          </w:p>
        </w:tc>
        <w:tc>
          <w:tcPr>
            <w:tcW w:type="dxa" w:w="4158"/>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Chatbot strictly grounded in project data; legal questions redirected to human experts; clear disclaimer</w:t>
            </w:r>
          </w:p>
        </w:tc>
      </w:tr>
      <w:tr>
        <w:tc>
          <w:tcPr>
            <w:tcW w:type="dxa" w:w="3024"/>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LLM provider dependency / availability risk</w:t>
            </w:r>
          </w:p>
        </w:tc>
        <w:tc>
          <w:tcPr>
            <w:tcW w:type="dxa" w:w="1764"/>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Operational</w:t>
            </w:r>
          </w:p>
        </w:tc>
        <w:tc>
          <w:tcPr>
            <w:tcW w:type="dxa" w:w="1134"/>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MEDIUM</w:t>
            </w:r>
          </w:p>
        </w:tc>
        <w:tc>
          <w:tcPr>
            <w:tcW w:type="dxa" w:w="4158"/>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Graceful degradation to rule-based reminders if LLM unavailable; multi-provider strategy</w:t>
            </w:r>
          </w:p>
        </w:tc>
      </w:tr>
    </w:tbl>
    <w:p>
      <w:pPr>
        <w:spacing w:after="120" w:before="0"/>
      </w:pPr>
      <w:r>
        <w:t xml:space="preserve"/>
      </w:r>
    </w:p>
    <w:p>
      <w:pPr>
        <w:pStyle w:val="Heading2"/>
        <w:spacing w:after="100" w:before="240"/>
      </w:pPr>
      <w:r>
        <w:rPr>
          <w:rFonts w:ascii="Arial" w:cs="Arial" w:eastAsia="Arial" w:hAnsi="Arial"/>
          <w:b/>
          <w:bCs/>
          <w:color w:val="0072CE"/>
          <w:sz w:val="26"/>
          <w:szCs w:val="26"/>
        </w:rPr>
        <w:t xml:space="preserve">AI Governance Commitments</w:t>
      </w:r>
    </w:p>
    <w:p>
      <w:pPr>
        <w:pStyle w:val="ListParagraph"/>
        <w:numPr>
          <w:ilvl w:val="0"/>
          <w:numId w:val="2"/>
        </w:numPr>
        <w:spacing w:after="60" w:before="0"/>
      </w:pPr>
      <w:r>
        <w:rPr>
          <w:rFonts w:ascii="Arial" w:cs="Arial" w:eastAsia="Arial" w:hAnsi="Arial"/>
          <w:color w:val="1E2D3D"/>
          <w:sz w:val="20"/>
          <w:szCs w:val="20"/>
        </w:rPr>
        <w:t xml:space="preserve">Human-in-the-loop for all consequential AI actions</w:t>
      </w:r>
    </w:p>
    <w:p>
      <w:pPr>
        <w:pStyle w:val="ListParagraph"/>
        <w:numPr>
          <w:ilvl w:val="0"/>
          <w:numId w:val="2"/>
        </w:numPr>
        <w:spacing w:after="60" w:before="0"/>
      </w:pPr>
      <w:r>
        <w:rPr>
          <w:rFonts w:ascii="Arial" w:cs="Arial" w:eastAsia="Arial" w:hAnsi="Arial"/>
          <w:color w:val="1E2D3D"/>
          <w:sz w:val="20"/>
          <w:szCs w:val="20"/>
        </w:rPr>
        <w:t xml:space="preserve">No AI training on customer project data without explicit consent</w:t>
      </w:r>
    </w:p>
    <w:p>
      <w:pPr>
        <w:pStyle w:val="ListParagraph"/>
        <w:numPr>
          <w:ilvl w:val="0"/>
          <w:numId w:val="2"/>
        </w:numPr>
        <w:spacing w:after="60" w:before="0"/>
      </w:pPr>
      <w:r>
        <w:rPr>
          <w:rFonts w:ascii="Arial" w:cs="Arial" w:eastAsia="Arial" w:hAnsi="Arial"/>
          <w:color w:val="1E2D3D"/>
          <w:sz w:val="20"/>
          <w:szCs w:val="20"/>
        </w:rPr>
        <w:t xml:space="preserve">Full audit trail of every AI prompt and output</w:t>
      </w:r>
    </w:p>
    <w:p>
      <w:pPr>
        <w:pStyle w:val="ListParagraph"/>
        <w:numPr>
          <w:ilvl w:val="0"/>
          <w:numId w:val="2"/>
        </w:numPr>
        <w:spacing w:after="60" w:before="0"/>
      </w:pPr>
      <w:r>
        <w:rPr>
          <w:rFonts w:ascii="Arial" w:cs="Arial" w:eastAsia="Arial" w:hAnsi="Arial"/>
          <w:color w:val="1E2D3D"/>
          <w:sz w:val="20"/>
          <w:szCs w:val="20"/>
        </w:rPr>
        <w:t xml:space="preserve">Quarterly AI risk review with security team</w:t>
      </w:r>
    </w:p>
    <w:p>
      <w:pPr>
        <w:pStyle w:val="ListParagraph"/>
        <w:numPr>
          <w:ilvl w:val="0"/>
          <w:numId w:val="2"/>
        </w:numPr>
        <w:spacing w:after="60" w:before="0"/>
      </w:pPr>
      <w:r>
        <w:rPr>
          <w:rFonts w:ascii="Arial" w:cs="Arial" w:eastAsia="Arial" w:hAnsi="Arial"/>
          <w:color w:val="1E2D3D"/>
          <w:sz w:val="20"/>
          <w:szCs w:val="20"/>
        </w:rPr>
        <w:t xml:space="preserve">AI feature toggle — any AI capability can be disabled per customer</w:t>
      </w:r>
    </w:p>
    <w:p>
      <w:pPr>
        <w:spacing w:after="120" w:before="0"/>
      </w:pPr>
      <w:r>
        <w:t xml:space="preserve"/>
      </w:r>
    </w:p>
    <w:p>
      <w:pPr>
        <w:pStyle w:val="Heading1"/>
        <w:pageBreakBefore/>
        <w:spacing w:after="160" w:before="320"/>
      </w:pPr>
      <w:r>
        <w:rPr>
          <w:rFonts w:ascii="Arial" w:cs="Arial" w:eastAsia="Arial" w:hAnsi="Arial"/>
          <w:b/>
          <w:bCs/>
          <w:color w:val="1A3A5C"/>
          <w:sz w:val="36"/>
          <w:szCs w:val="36"/>
        </w:rPr>
        <w:t xml:space="preserve">9. Pricing &amp; Cost Structure</w:t>
      </w:r>
    </w:p>
    <w:p>
      <w:pPr>
        <w:pBdr>
          <w:bottom w:val="single" w:color="0072CE" w:sz="4"/>
        </w:pBdr>
        <w:spacing w:after="80" w:before="0"/>
      </w:pPr>
    </w:p>
    <w:p>
      <w:pPr>
        <w:pStyle w:val="Heading2"/>
        <w:spacing w:after="100" w:before="240"/>
      </w:pPr>
      <w:r>
        <w:rPr>
          <w:rFonts w:ascii="Arial" w:cs="Arial" w:eastAsia="Arial" w:hAnsi="Arial"/>
          <w:b/>
          <w:bCs/>
          <w:color w:val="0072CE"/>
          <w:sz w:val="26"/>
          <w:szCs w:val="26"/>
        </w:rPr>
        <w:t xml:space="preserve">Pricing Model</w:t>
      </w:r>
    </w:p>
    <w:p>
      <w:pPr>
        <w:spacing w:after="80" w:before="0"/>
        <w:jc w:val="left"/>
      </w:pPr>
      <w:r>
        <w:rPr>
          <w:rFonts w:ascii="Arial" w:cs="Arial" w:eastAsia="Arial" w:hAnsi="Arial"/>
          <w:b w:val="false"/>
          <w:bCs w:val="false"/>
          <w:i w:val="false"/>
          <w:iCs w:val="false"/>
          <w:color w:val="1E2D3D"/>
          <w:sz w:val="20"/>
          <w:szCs w:val="20"/>
        </w:rPr>
        <w:t xml:space="preserve">The platform uses a per-project SaaS subscription model, billed annually. Pricing scales with the number of active BIN procurement projects and the AI feature tier.</w:t>
      </w:r>
    </w:p>
    <w:p>
      <w:pPr>
        <w:spacing w:after="12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64"/>
        <w:gridCol w:w="2520"/>
        <w:gridCol w:w="2016"/>
        <w:gridCol w:w="3780"/>
      </w:tblGrid>
      <w:tr>
        <w:trPr>
          <w:tblHeader/>
        </w:trPr>
        <w:tc>
          <w:tcPr>
            <w:tcW w:type="dxa" w:w="1764"/>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Plan</w:t>
            </w:r>
          </w:p>
        </w:tc>
        <w:tc>
          <w:tcPr>
            <w:tcW w:type="dxa" w:w="25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w:t>
            </w:r>
          </w:p>
        </w:tc>
        <w:tc>
          <w:tcPr>
            <w:tcW w:type="dxa" w:w="2016"/>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Concurrent Projects</w:t>
            </w:r>
          </w:p>
        </w:tc>
        <w:tc>
          <w:tcPr>
            <w:tcW w:type="dxa" w:w="37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Features</w:t>
            </w:r>
          </w:p>
        </w:tc>
      </w:tr>
      <w:tr>
        <w:tc>
          <w:tcPr>
            <w:tcW w:type="dxa" w:w="1764"/>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Starter</w:t>
            </w:r>
          </w:p>
        </w:tc>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$2,500 / project / year</w:t>
            </w:r>
          </w:p>
        </w:tc>
        <w:tc>
          <w:tcPr>
            <w:tcW w:type="dxa" w:w="2016"/>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Up to 3</w:t>
            </w:r>
          </w:p>
        </w:tc>
        <w:tc>
          <w:tcPr>
            <w:tcW w:type="dxa" w:w="378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31-step tracker, Excel/Smartsheet import, role-based portal, rule-based reminders, audit log</w:t>
            </w:r>
          </w:p>
        </w:tc>
      </w:tr>
      <w:tr>
        <w:tc>
          <w:tcPr>
            <w:tcW w:type="dxa" w:w="1764"/>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Professional</w:t>
            </w:r>
          </w:p>
        </w:tc>
        <w:tc>
          <w:tcPr>
            <w:tcW w:type="dxa" w:w="252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$6,500 / project / year</w:t>
            </w:r>
          </w:p>
        </w:tc>
        <w:tc>
          <w:tcPr>
            <w:tcW w:type="dxa" w:w="2016"/>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Up to 10</w:t>
            </w:r>
          </w:p>
        </w:tc>
        <w:tc>
          <w:tcPr>
            <w:tcW w:type="dxa" w:w="378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Everything in Starter + AI risk predictor, AI smart nudges, AI executive summary, Slack/Teams, Jira &amp; Smartsheet sync</w:t>
            </w:r>
          </w:p>
        </w:tc>
      </w:tr>
      <w:tr>
        <w:tc>
          <w:tcPr>
            <w:tcW w:type="dxa" w:w="1764"/>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Enterprise</w:t>
            </w:r>
          </w:p>
        </w:tc>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Custom annual contract</w:t>
            </w:r>
          </w:p>
        </w:tc>
        <w:tc>
          <w:tcPr>
            <w:tcW w:type="dxa" w:w="2016"/>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Unlimited</w:t>
            </w:r>
          </w:p>
        </w:tc>
        <w:tc>
          <w:tcPr>
            <w:tcW w:type="dxa" w:w="378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Everything in Professional + AI chatbot, HSM ceremony workflow, white-label, dedicated CSM, SOC 2 Type II, SLA</w:t>
            </w:r>
          </w:p>
        </w:tc>
      </w:tr>
    </w:tbl>
    <w:p>
      <w:pPr>
        <w:spacing w:after="120" w:before="0"/>
      </w:pPr>
      <w:r>
        <w:t xml:space="preserve"/>
      </w:r>
    </w:p>
    <w:p>
      <w:pPr>
        <w:pStyle w:val="Heading2"/>
        <w:spacing w:after="100" w:before="240"/>
      </w:pPr>
      <w:r>
        <w:rPr>
          <w:rFonts w:ascii="Arial" w:cs="Arial" w:eastAsia="Arial" w:hAnsi="Arial"/>
          <w:b/>
          <w:bCs/>
          <w:color w:val="0072CE"/>
          <w:sz w:val="26"/>
          <w:szCs w:val="26"/>
        </w:rPr>
        <w:t xml:space="preserve">Annual Cost Structure (100 Active Projects)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68"/>
        <w:gridCol w:w="3024"/>
        <w:gridCol w:w="1890"/>
        <w:gridCol w:w="2898"/>
      </w:tblGrid>
      <w:tr>
        <w:trPr>
          <w:tblHeader/>
        </w:trPr>
        <w:tc>
          <w:tcPr>
            <w:tcW w:type="dxa" w:w="2268"/>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024"/>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189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Annual Cost</w:t>
            </w:r>
          </w:p>
        </w:tc>
        <w:tc>
          <w:tcPr>
            <w:tcW w:type="dxa" w:w="2898"/>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of Revenue</w:t>
            </w:r>
          </w:p>
        </w:tc>
      </w:tr>
      <w:tr>
        <w:tc>
          <w:tcPr>
            <w:tcW w:type="dxa" w:w="2268"/>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Infrastructure</w:t>
            </w:r>
          </w:p>
        </w:tc>
        <w:tc>
          <w:tcPr>
            <w:tcW w:type="dxa" w:w="3024"/>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Cloud hosting (compute + storage + DB)</w:t>
            </w:r>
          </w:p>
        </w:tc>
        <w:tc>
          <w:tcPr>
            <w:tcW w:type="dxa" w:w="189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$48,000</w:t>
            </w:r>
          </w:p>
        </w:tc>
        <w:tc>
          <w:tcPr>
            <w:tcW w:type="dxa" w:w="2898"/>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8%</w:t>
            </w:r>
          </w:p>
        </w:tc>
      </w:tr>
      <w:tr>
        <w:tc>
          <w:tcPr>
            <w:tcW w:type="dxa" w:w="2268"/>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Infrastructure</w:t>
            </w:r>
          </w:p>
        </w:tc>
        <w:tc>
          <w:tcPr>
            <w:tcW w:type="dxa" w:w="3024"/>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CDN + email delivery</w:t>
            </w:r>
          </w:p>
        </w:tc>
        <w:tc>
          <w:tcPr>
            <w:tcW w:type="dxa" w:w="189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$6,000</w:t>
            </w:r>
          </w:p>
        </w:tc>
        <w:tc>
          <w:tcPr>
            <w:tcW w:type="dxa" w:w="2898"/>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1%</w:t>
            </w:r>
          </w:p>
        </w:tc>
      </w:tr>
      <w:tr>
        <w:tc>
          <w:tcPr>
            <w:tcW w:type="dxa" w:w="2268"/>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Infrastructure</w:t>
            </w:r>
          </w:p>
        </w:tc>
        <w:tc>
          <w:tcPr>
            <w:tcW w:type="dxa" w:w="3024"/>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Security tooling (WAF, SIEM, secrets mgmt)</w:t>
            </w:r>
          </w:p>
        </w:tc>
        <w:tc>
          <w:tcPr>
            <w:tcW w:type="dxa" w:w="189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$24,000</w:t>
            </w:r>
          </w:p>
        </w:tc>
        <w:tc>
          <w:tcPr>
            <w:tcW w:type="dxa" w:w="2898"/>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4%</w:t>
            </w:r>
          </w:p>
        </w:tc>
      </w:tr>
      <w:tr>
        <w:tc>
          <w:tcPr>
            <w:tcW w:type="dxa" w:w="2268"/>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AI / LLM</w:t>
            </w:r>
          </w:p>
        </w:tc>
        <w:tc>
          <w:tcPr>
            <w:tcW w:type="dxa" w:w="3024"/>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LLM API calls (~3M tokens/month)</w:t>
            </w:r>
          </w:p>
        </w:tc>
        <w:tc>
          <w:tcPr>
            <w:tcW w:type="dxa" w:w="189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$36,000</w:t>
            </w:r>
          </w:p>
        </w:tc>
        <w:tc>
          <w:tcPr>
            <w:tcW w:type="dxa" w:w="2898"/>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6%</w:t>
            </w:r>
          </w:p>
        </w:tc>
      </w:tr>
      <w:tr>
        <w:tc>
          <w:tcPr>
            <w:tcW w:type="dxa" w:w="2268"/>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AI / LLM</w:t>
            </w:r>
          </w:p>
        </w:tc>
        <w:tc>
          <w:tcPr>
            <w:tcW w:type="dxa" w:w="3024"/>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AI evaluation infrastructure</w:t>
            </w:r>
          </w:p>
        </w:tc>
        <w:tc>
          <w:tcPr>
            <w:tcW w:type="dxa" w:w="189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$12,000</w:t>
            </w:r>
          </w:p>
        </w:tc>
        <w:tc>
          <w:tcPr>
            <w:tcW w:type="dxa" w:w="2898"/>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2%</w:t>
            </w:r>
          </w:p>
        </w:tc>
      </w:tr>
      <w:tr>
        <w:tc>
          <w:tcPr>
            <w:tcW w:type="dxa" w:w="2268"/>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Compliance</w:t>
            </w:r>
          </w:p>
        </w:tc>
        <w:tc>
          <w:tcPr>
            <w:tcW w:type="dxa" w:w="3024"/>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SOC 2 audit + pen testing</w:t>
            </w:r>
          </w:p>
        </w:tc>
        <w:tc>
          <w:tcPr>
            <w:tcW w:type="dxa" w:w="189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$40,000</w:t>
            </w:r>
          </w:p>
        </w:tc>
        <w:tc>
          <w:tcPr>
            <w:tcW w:type="dxa" w:w="2898"/>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7%</w:t>
            </w:r>
          </w:p>
        </w:tc>
      </w:tr>
      <w:tr>
        <w:tc>
          <w:tcPr>
            <w:tcW w:type="dxa" w:w="2268"/>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Compliance</w:t>
            </w:r>
          </w:p>
        </w:tc>
        <w:tc>
          <w:tcPr>
            <w:tcW w:type="dxa" w:w="3024"/>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PCI DSS advisory</w:t>
            </w:r>
          </w:p>
        </w:tc>
        <w:tc>
          <w:tcPr>
            <w:tcW w:type="dxa" w:w="189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$20,000</w:t>
            </w:r>
          </w:p>
        </w:tc>
        <w:tc>
          <w:tcPr>
            <w:tcW w:type="dxa" w:w="2898"/>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3%</w:t>
            </w:r>
          </w:p>
        </w:tc>
      </w:tr>
      <w:tr>
        <w:tc>
          <w:tcPr>
            <w:tcW w:type="dxa" w:w="2268"/>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Engineering</w:t>
            </w:r>
          </w:p>
        </w:tc>
        <w:tc>
          <w:tcPr>
            <w:tcW w:type="dxa" w:w="3024"/>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Dev + QA (3 FTE blended)</w:t>
            </w:r>
          </w:p>
        </w:tc>
        <w:tc>
          <w:tcPr>
            <w:tcW w:type="dxa" w:w="189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$360,000</w:t>
            </w:r>
          </w:p>
        </w:tc>
        <w:tc>
          <w:tcPr>
            <w:tcW w:type="dxa" w:w="2898"/>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60%</w:t>
            </w:r>
          </w:p>
        </w:tc>
      </w:tr>
      <w:tr>
        <w:tc>
          <w:tcPr>
            <w:tcW w:type="dxa" w:w="2268"/>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Product &amp; GTM</w:t>
            </w:r>
          </w:p>
        </w:tc>
        <w:tc>
          <w:tcPr>
            <w:tcW w:type="dxa" w:w="3024"/>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Product + Sales + Customer Success</w:t>
            </w:r>
          </w:p>
        </w:tc>
        <w:tc>
          <w:tcPr>
            <w:tcW w:type="dxa" w:w="189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$54,000</w:t>
            </w:r>
          </w:p>
        </w:tc>
        <w:tc>
          <w:tcPr>
            <w:tcW w:type="dxa" w:w="2898"/>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9%</w:t>
            </w:r>
          </w:p>
        </w:tc>
      </w:tr>
      <w:tr>
        <w:tc>
          <w:tcPr>
            <w:tcW w:type="dxa" w:w="2268"/>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TOTAL</w:t>
            </w:r>
          </w:p>
        </w:tc>
        <w:tc>
          <w:tcPr>
            <w:tcW w:type="dxa" w:w="3024"/>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
            </w:r>
          </w:p>
        </w:tc>
        <w:tc>
          <w:tcPr>
            <w:tcW w:type="dxa" w:w="189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$600,000</w:t>
            </w:r>
          </w:p>
        </w:tc>
        <w:tc>
          <w:tcPr>
            <w:tcW w:type="dxa" w:w="2898"/>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100%</w:t>
            </w:r>
          </w:p>
        </w:tc>
      </w:tr>
    </w:tbl>
    <w:p>
      <w:pPr>
        <w:spacing w:after="120" w:before="0"/>
      </w:pPr>
      <w:r>
        <w:t xml:space="preserve"/>
      </w:r>
    </w:p>
    <w:p>
      <w:pPr>
        <w:pStyle w:val="Heading1"/>
        <w:pageBreakBefore/>
        <w:spacing w:after="160" w:before="320"/>
      </w:pPr>
      <w:r>
        <w:rPr>
          <w:rFonts w:ascii="Arial" w:cs="Arial" w:eastAsia="Arial" w:hAnsi="Arial"/>
          <w:b/>
          <w:bCs/>
          <w:color w:val="1A3A5C"/>
          <w:sz w:val="36"/>
          <w:szCs w:val="36"/>
        </w:rPr>
        <w:t xml:space="preserve">10. Pilot Technical Scope — Live Status Tracker</w:t>
      </w:r>
    </w:p>
    <w:p>
      <w:pPr>
        <w:pBdr>
          <w:bottom w:val="single" w:color="0072CE" w:sz="4"/>
        </w:pBdr>
        <w:spacing w:after="80" w:before="0"/>
      </w:pPr>
    </w:p>
    <w:p>
      <w:pPr>
        <w:pBdr>
          <w:left w:val="single" w:color="0072CE" w:sz="12"/>
        </w:pBdr>
        <w:shd w:fill="EEF5FD" w:val="clear"/>
        <w:spacing w:after="120" w:before="120"/>
        <w:ind w:left="200"/>
      </w:pPr>
      <w:r>
        <w:rPr>
          <w:rFonts w:ascii="Arial" w:cs="Arial" w:eastAsia="Arial" w:hAnsi="Arial"/>
          <w:color w:val="1E2D3D"/>
          <w:sz w:val="20"/>
          <w:szCs w:val="20"/>
        </w:rPr>
        <w:t xml:space="preserve">The pilot technical scope covers four concrete deliverables that bring the BIN Procurement Tracker to life as a working local web application — reading live data from Excel, Smartsheet CSV, or Jira export and serving it through a browser-accessible dashboard.</w:t>
      </w:r>
    </w:p>
    <w:p>
      <w:pPr>
        <w:spacing w:after="120" w:before="0"/>
      </w:pPr>
      <w:r>
        <w:t xml:space="preserve"/>
      </w:r>
    </w:p>
    <w:p>
      <w:pPr>
        <w:pStyle w:val="Heading2"/>
        <w:spacing w:after="100" w:before="240"/>
      </w:pPr>
      <w:r>
        <w:rPr>
          <w:rFonts w:ascii="Arial" w:cs="Arial" w:eastAsia="Arial" w:hAnsi="Arial"/>
          <w:b/>
          <w:bCs/>
          <w:color w:val="0072CE"/>
          <w:sz w:val="26"/>
          <w:szCs w:val="26"/>
        </w:rPr>
        <w:t xml:space="preserve">a. Status Tracker HTML with Executive Summary</w:t>
      </w:r>
    </w:p>
    <w:p>
      <w:pPr>
        <w:spacing w:after="80" w:before="0"/>
        <w:jc w:val="left"/>
      </w:pPr>
      <w:r>
        <w:rPr>
          <w:rFonts w:ascii="Arial" w:cs="Arial" w:eastAsia="Arial" w:hAnsi="Arial"/>
          <w:b w:val="false"/>
          <w:bCs w:val="false"/>
          <w:i w:val="false"/>
          <w:iCs w:val="false"/>
          <w:color w:val="1E2D3D"/>
          <w:sz w:val="20"/>
          <w:szCs w:val="20"/>
        </w:rPr>
        <w:t xml:space="preserve">A dynamically generated HTML page served at /bin-tracker that provides: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68"/>
        <w:gridCol w:w="4032"/>
        <w:gridCol w:w="3780"/>
      </w:tblGrid>
      <w:tr>
        <w:trPr>
          <w:tblHeader/>
        </w:trPr>
        <w:tc>
          <w:tcPr>
            <w:tcW w:type="dxa" w:w="2268"/>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4032"/>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w:t>
            </w:r>
          </w:p>
        </w:tc>
        <w:tc>
          <w:tcPr>
            <w:tcW w:type="dxa" w:w="37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Source</w:t>
            </w:r>
          </w:p>
        </w:tc>
      </w:tr>
      <w:tr>
        <w:tc>
          <w:tcPr>
            <w:tcW w:type="dxa" w:w="2268"/>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RAG Status Badge</w:t>
            </w:r>
          </w:p>
        </w:tc>
        <w:tc>
          <w:tcPr>
            <w:tcW w:type="dxa" w:w="4032"/>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Green / Amber / Red — computed from overdue step count</w:t>
            </w:r>
          </w:p>
        </w:tc>
        <w:tc>
          <w:tcPr>
            <w:tcW w:type="dxa" w:w="378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Step statuses + estimated dates</w:t>
            </w:r>
          </w:p>
        </w:tc>
      </w:tr>
      <w:tr>
        <w:tc>
          <w:tcPr>
            <w:tcW w:type="dxa" w:w="2268"/>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Progress Bar</w:t>
            </w:r>
          </w:p>
        </w:tc>
        <w:tc>
          <w:tcPr>
            <w:tcW w:type="dxa" w:w="4032"/>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Visual % completion (Done steps / Total steps)</w:t>
            </w:r>
          </w:p>
        </w:tc>
        <w:tc>
          <w:tcPr>
            <w:tcW w:type="dxa" w:w="378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Step status column</w:t>
            </w:r>
          </w:p>
        </w:tc>
      </w:tr>
      <w:tr>
        <w:tc>
          <w:tcPr>
            <w:tcW w:type="dxa" w:w="2268"/>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Days to Launch</w:t>
            </w:r>
          </w:p>
        </w:tc>
        <w:tc>
          <w:tcPr>
            <w:tcW w:type="dxa" w:w="4032"/>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Live countdown to target launch date (10 Oct 2026)</w:t>
            </w:r>
          </w:p>
        </w:tc>
        <w:tc>
          <w:tcPr>
            <w:tcW w:type="dxa" w:w="378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System clock</w:t>
            </w:r>
          </w:p>
        </w:tc>
      </w:tr>
      <w:tr>
        <w:tc>
          <w:tcPr>
            <w:tcW w:type="dxa" w:w="2268"/>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Summary KPI Tiles</w:t>
            </w:r>
          </w:p>
        </w:tc>
        <w:tc>
          <w:tcPr>
            <w:tcW w:type="dxa" w:w="4032"/>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Total / Done / In Progress / To Do / Overdue / % Complete</w:t>
            </w:r>
          </w:p>
        </w:tc>
        <w:tc>
          <w:tcPr>
            <w:tcW w:type="dxa" w:w="378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All rows</w:t>
            </w:r>
          </w:p>
        </w:tc>
      </w:tr>
      <w:tr>
        <w:tc>
          <w:tcPr>
            <w:tcW w:type="dxa" w:w="2268"/>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Stakeholder Donuts</w:t>
            </w:r>
          </w:p>
        </w:tc>
        <w:tc>
          <w:tcPr>
            <w:tcW w:type="dxa" w:w="4032"/>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4 SVG donut charts — Issuer, Network, Processor, Embosser — by status</w:t>
            </w:r>
          </w:p>
        </w:tc>
        <w:tc>
          <w:tcPr>
            <w:tcW w:type="dxa" w:w="378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Responsible column + status</w:t>
            </w:r>
          </w:p>
        </w:tc>
      </w:tr>
      <w:tr>
        <w:tc>
          <w:tcPr>
            <w:tcW w:type="dxa" w:w="2268"/>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Overdue Alert Panel</w:t>
            </w:r>
          </w:p>
        </w:tc>
        <w:tc>
          <w:tcPr>
            <w:tcW w:type="dxa" w:w="4032"/>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Red highlighted list of every step past estimated date</w:t>
            </w:r>
          </w:p>
        </w:tc>
        <w:tc>
          <w:tcPr>
            <w:tcW w:type="dxa" w:w="378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Estimated date vs. today</w:t>
            </w:r>
          </w:p>
        </w:tc>
      </w:tr>
      <w:tr>
        <w:tc>
          <w:tcPr>
            <w:tcW w:type="dxa" w:w="2268"/>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Next Milestones Cards</w:t>
            </w:r>
          </w:p>
        </w:tc>
        <w:tc>
          <w:tcPr>
            <w:tcW w:type="dxa" w:w="4032"/>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3 upcoming pending steps with owner badge and due date</w:t>
            </w:r>
          </w:p>
        </w:tc>
        <w:tc>
          <w:tcPr>
            <w:tcW w:type="dxa" w:w="378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First pending steps</w:t>
            </w:r>
          </w:p>
        </w:tc>
      </w:tr>
      <w:tr>
        <w:tc>
          <w:tcPr>
            <w:tcW w:type="dxa" w:w="2268"/>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All-Steps Table</w:t>
            </w:r>
          </w:p>
        </w:tc>
        <w:tc>
          <w:tcPr>
            <w:tcW w:type="dxa" w:w="4032"/>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31 rows: Step, Description, Responsible, Dates, Status, Days Countdown</w:t>
            </w:r>
          </w:p>
        </w:tc>
        <w:tc>
          <w:tcPr>
            <w:tcW w:type="dxa" w:w="378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All Excel/Smartsheet rows</w:t>
            </w:r>
          </w:p>
        </w:tc>
      </w:tr>
    </w:tbl>
    <w:p>
      <w:pPr>
        <w:spacing w:after="120" w:before="0"/>
      </w:pPr>
      <w:r>
        <w:t xml:space="preserve"/>
      </w:r>
    </w:p>
    <w:p>
      <w:pPr>
        <w:pStyle w:val="Heading2"/>
        <w:spacing w:after="100" w:before="240"/>
      </w:pPr>
      <w:r>
        <w:rPr>
          <w:rFonts w:ascii="Arial" w:cs="Arial" w:eastAsia="Arial" w:hAnsi="Arial"/>
          <w:b/>
          <w:bCs/>
          <w:color w:val="0072CE"/>
          <w:sz w:val="26"/>
          <w:szCs w:val="26"/>
        </w:rPr>
        <w:t xml:space="preserve">b. Local Server Hosting (server.py)</w:t>
      </w:r>
    </w:p>
    <w:p>
      <w:pPr>
        <w:spacing w:after="80" w:before="0"/>
        <w:jc w:val="left"/>
      </w:pPr>
      <w:r>
        <w:rPr>
          <w:rFonts w:ascii="Arial" w:cs="Arial" w:eastAsia="Arial" w:hAnsi="Arial"/>
          <w:b w:val="false"/>
          <w:bCs w:val="false"/>
          <w:i w:val="false"/>
          <w:iCs w:val="false"/>
          <w:color w:val="1E2D3D"/>
          <w:sz w:val="20"/>
          <w:szCs w:val="20"/>
        </w:rPr>
        <w:t xml:space="preserve">A Python HTTP server built entirely on the standard library (no pip installs required). Reads the Excel/Smartsheet/Jira source file fresh on every request.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rPr>
          <w:tblHeader/>
        </w:trPr>
        <w:tc>
          <w:tcPr>
            <w:tcW w:type="dxa" w:w="25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w:t>
            </w:r>
          </w:p>
        </w:tc>
        <w:tc>
          <w:tcPr>
            <w:tcW w:type="dxa" w:w="7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Language</w:t>
            </w:r>
          </w:p>
        </w:tc>
        <w:tc>
          <w:tcPr>
            <w:tcW w:type="dxa" w:w="75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Python 3 — standard library only (http.server, zipfile, xml.etree)</w:t>
            </w:r>
          </w:p>
        </w:tc>
      </w:tr>
      <w:tr>
        <w:tc>
          <w:tcPr>
            <w:tcW w:type="dxa" w:w="252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Port</w:t>
            </w:r>
          </w:p>
        </w:tc>
        <w:tc>
          <w:tcPr>
            <w:tcW w:type="dxa" w:w="756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8080 (configurable via PORT constant)</w:t>
            </w:r>
          </w:p>
        </w:tc>
      </w:tr>
      <w:tr>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Host</w:t>
            </w:r>
          </w:p>
        </w:tc>
        <w:tc>
          <w:tcPr>
            <w:tcW w:type="dxa" w:w="75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localhost (127.0.0.1) — accessible only from the local machine</w:t>
            </w:r>
          </w:p>
        </w:tc>
      </w:tr>
      <w:tr>
        <w:tc>
          <w:tcPr>
            <w:tcW w:type="dxa" w:w="252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Data read</w:t>
            </w:r>
          </w:p>
        </w:tc>
        <w:tc>
          <w:tcPr>
            <w:tcW w:type="dxa" w:w="756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On every incoming HTTP request — zero caching</w:t>
            </w:r>
          </w:p>
        </w:tc>
      </w:tr>
      <w:tr>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Input sources</w:t>
            </w:r>
          </w:p>
        </w:tc>
        <w:tc>
          <w:tcPr>
            <w:tcW w:type="dxa" w:w="75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Excel (.xlsx), Smartsheet CSV export, or Jira CSV export</w:t>
            </w:r>
          </w:p>
        </w:tc>
      </w:tr>
      <w:tr>
        <w:tc>
          <w:tcPr>
            <w:tcW w:type="dxa" w:w="252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Auto-start</w:t>
            </w:r>
          </w:p>
        </w:tc>
        <w:tc>
          <w:tcPr>
            <w:tcW w:type="dxa" w:w="756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Configured via macOS launchd (runs automatically at every login)</w:t>
            </w:r>
          </w:p>
        </w:tc>
      </w:tr>
      <w:tr>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To start</w:t>
            </w:r>
          </w:p>
        </w:tc>
        <w:tc>
          <w:tcPr>
            <w:tcW w:type="dxa" w:w="75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bash ~/Desktop/Robin AI Learnings/setup_autostart.sh</w:t>
            </w:r>
          </w:p>
        </w:tc>
      </w:tr>
    </w:tbl>
    <w:p>
      <w:pPr>
        <w:spacing w:after="120" w:before="0"/>
      </w:pPr>
      <w:r>
        <w:t xml:space="preserve"/>
      </w:r>
    </w:p>
    <w:p>
      <w:pPr>
        <w:pStyle w:val="Heading2"/>
        <w:spacing w:after="100" w:before="240"/>
      </w:pPr>
      <w:r>
        <w:rPr>
          <w:rFonts w:ascii="Arial" w:cs="Arial" w:eastAsia="Arial" w:hAnsi="Arial"/>
          <w:b/>
          <w:bCs/>
          <w:color w:val="0072CE"/>
          <w:sz w:val="26"/>
          <w:szCs w:val="26"/>
        </w:rPr>
        <w:t xml:space="preserve">c. Landing Page</w:t>
      </w:r>
    </w:p>
    <w:p>
      <w:pPr>
        <w:spacing w:after="80" w:before="0"/>
        <w:jc w:val="left"/>
      </w:pPr>
      <w:r>
        <w:rPr>
          <w:rFonts w:ascii="Arial" w:cs="Arial" w:eastAsia="Arial" w:hAnsi="Arial"/>
          <w:b w:val="false"/>
          <w:bCs w:val="false"/>
          <w:i w:val="false"/>
          <w:iCs w:val="false"/>
          <w:color w:val="1E2D3D"/>
          <w:sz w:val="20"/>
          <w:szCs w:val="20"/>
        </w:rPr>
        <w:t xml:space="preserve">A professional project hub landing page at http://localhost:8080 with the heading 'Robin Khatwani Projects'. Contains a hyperlinked card to the BIN Procurement Status Tracker and explains the live data behaviour.</w:t>
      </w:r>
    </w:p>
    <w:p>
      <w:pPr>
        <w:spacing w:after="120" w:before="0"/>
      </w:pPr>
      <w:r>
        <w:t xml:space="preserve"/>
      </w:r>
    </w:p>
    <w:p>
      <w:pPr>
        <w:pStyle w:val="Heading2"/>
        <w:spacing w:after="100" w:before="240"/>
      </w:pPr>
      <w:r>
        <w:rPr>
          <w:rFonts w:ascii="Arial" w:cs="Arial" w:eastAsia="Arial" w:hAnsi="Arial"/>
          <w:b/>
          <w:bCs/>
          <w:color w:val="0072CE"/>
          <w:sz w:val="26"/>
          <w:szCs w:val="26"/>
        </w:rPr>
        <w:t xml:space="preserve">d. Live Data Refresh Mechanism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4032"/>
        <w:gridCol w:w="3528"/>
      </w:tblGrid>
      <w:tr>
        <w:trPr>
          <w:tblHeader/>
        </w:trPr>
        <w:tc>
          <w:tcPr>
            <w:tcW w:type="dxa" w:w="25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4032"/>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Mechanism</w:t>
            </w:r>
          </w:p>
        </w:tc>
        <w:tc>
          <w:tcPr>
            <w:tcW w:type="dxa" w:w="3528"/>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Effect</w:t>
            </w:r>
          </w:p>
        </w:tc>
      </w:tr>
      <w:tr>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Server-side read-on-request</w:t>
            </w:r>
          </w:p>
        </w:tc>
        <w:tc>
          <w:tcPr>
            <w:tcW w:type="dxa" w:w="4032"/>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Python server opens and parses the source file on every HTTP GET</w:t>
            </w:r>
          </w:p>
        </w:tc>
        <w:tc>
          <w:tcPr>
            <w:tcW w:type="dxa" w:w="3528"/>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Every click reads the latest saved data</w:t>
            </w:r>
          </w:p>
        </w:tc>
      </w:tr>
      <w:tr>
        <w:tc>
          <w:tcPr>
            <w:tcW w:type="dxa" w:w="2520"/>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HTTP no-cache headers</w:t>
            </w:r>
          </w:p>
        </w:tc>
        <w:tc>
          <w:tcPr>
            <w:tcW w:type="dxa" w:w="4032"/>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Cache-Control: no-cache, no-store, must-revalidate sent on every response</w:t>
            </w:r>
          </w:p>
        </w:tc>
        <w:tc>
          <w:tcPr>
            <w:tcW w:type="dxa" w:w="3528"/>
            <w:tcBorders>
              <w:top w:val="single" w:color="D0DAEA" w:sz="1"/>
              <w:left w:val="single" w:color="D0DAEA" w:sz="1"/>
              <w:bottom w:val="single" w:color="D0DAEA" w:sz="1"/>
              <w:right w:val="single" w:color="D0DAEA"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Browser never serves a cached version</w:t>
            </w:r>
          </w:p>
        </w:tc>
      </w:tr>
      <w:tr>
        <w:tc>
          <w:tcPr>
            <w:tcW w:type="dxa" w:w="252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60-second auto-refresh</w:t>
            </w:r>
          </w:p>
        </w:tc>
        <w:tc>
          <w:tcPr>
            <w:tcW w:type="dxa" w:w="4032"/>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JavaScript countdown timer calls location.reload() — also shows live countdown in header</w:t>
            </w:r>
          </w:p>
        </w:tc>
        <w:tc>
          <w:tcPr>
            <w:tcW w:type="dxa" w:w="3528"/>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3D"/>
                <w:sz w:val="20"/>
                <w:szCs w:val="20"/>
              </w:rPr>
              <w:t xml:space="preserve">Page auto-refreshes even if left open</w:t>
            </w:r>
          </w:p>
        </w:tc>
      </w:tr>
    </w:tbl>
    <w:p>
      <w:pPr>
        <w:spacing w:after="120" w:before="0"/>
      </w:pPr>
      <w:r>
        <w:t xml:space="preserve"/>
      </w:r>
    </w:p>
    <w:p>
      <w:pPr>
        <w:pStyle w:val="Heading2"/>
        <w:spacing w:after="100" w:before="240"/>
      </w:pPr>
      <w:r>
        <w:rPr>
          <w:rFonts w:ascii="Arial" w:cs="Arial" w:eastAsia="Arial" w:hAnsi="Arial"/>
          <w:b/>
          <w:bCs/>
          <w:color w:val="0072CE"/>
          <w:sz w:val="26"/>
          <w:szCs w:val="26"/>
        </w:rPr>
        <w:t xml:space="preserve">How to Run</w:t>
      </w:r>
    </w:p>
    <w:p>
      <w:pPr>
        <w:pStyle w:val="ListParagraph"/>
        <w:numPr>
          <w:ilvl w:val="0"/>
          <w:numId w:val="3"/>
        </w:numPr>
        <w:spacing w:after="60" w:before="0"/>
      </w:pPr>
      <w:r>
        <w:rPr>
          <w:rFonts w:ascii="Arial" w:cs="Arial" w:eastAsia="Arial" w:hAnsi="Arial"/>
          <w:color w:val="1E2D3D"/>
          <w:sz w:val="20"/>
          <w:szCs w:val="20"/>
        </w:rPr>
        <w:t xml:space="preserve">Open Terminal on your Mac</w:t>
      </w:r>
    </w:p>
    <w:p>
      <w:pPr>
        <w:pStyle w:val="ListParagraph"/>
        <w:numPr>
          <w:ilvl w:val="0"/>
          <w:numId w:val="3"/>
        </w:numPr>
        <w:spacing w:after="60" w:before="0"/>
      </w:pPr>
      <w:r>
        <w:rPr>
          <w:rFonts w:ascii="Arial" w:cs="Arial" w:eastAsia="Arial" w:hAnsi="Arial"/>
          <w:color w:val="1E2D3D"/>
          <w:sz w:val="20"/>
          <w:szCs w:val="20"/>
        </w:rPr>
        <w:t xml:space="preserve">Run: bash ~/Desktop/Robin\ AI\ Learnings/setup_autostart.sh</w:t>
      </w:r>
    </w:p>
    <w:p>
      <w:pPr>
        <w:pStyle w:val="ListParagraph"/>
        <w:numPr>
          <w:ilvl w:val="0"/>
          <w:numId w:val="3"/>
        </w:numPr>
        <w:spacing w:after="60" w:before="0"/>
      </w:pPr>
      <w:r>
        <w:rPr>
          <w:rFonts w:ascii="Arial" w:cs="Arial" w:eastAsia="Arial" w:hAnsi="Arial"/>
          <w:color w:val="1E2D3D"/>
          <w:sz w:val="20"/>
          <w:szCs w:val="20"/>
        </w:rPr>
        <w:t xml:space="preserve">Open browser to http://localhost:8080</w:t>
      </w:r>
    </w:p>
    <w:p>
      <w:pPr>
        <w:pStyle w:val="ListParagraph"/>
        <w:numPr>
          <w:ilvl w:val="0"/>
          <w:numId w:val="3"/>
        </w:numPr>
        <w:spacing w:after="60" w:before="0"/>
      </w:pPr>
      <w:r>
        <w:rPr>
          <w:rFonts w:ascii="Arial" w:cs="Arial" w:eastAsia="Arial" w:hAnsi="Arial"/>
          <w:color w:val="1E2D3D"/>
          <w:sz w:val="20"/>
          <w:szCs w:val="20"/>
        </w:rPr>
        <w:t xml:space="preserve">Click 'View Live Tracker' to open the BIN Procurement Status Tracker</w:t>
      </w:r>
    </w:p>
    <w:p>
      <w:pPr>
        <w:pStyle w:val="ListParagraph"/>
        <w:numPr>
          <w:ilvl w:val="0"/>
          <w:numId w:val="3"/>
        </w:numPr>
        <w:spacing w:after="60" w:before="0"/>
      </w:pPr>
      <w:r>
        <w:rPr>
          <w:rFonts w:ascii="Arial" w:cs="Arial" w:eastAsia="Arial" w:hAnsi="Arial"/>
          <w:color w:val="1E2D3D"/>
          <w:sz w:val="20"/>
          <w:szCs w:val="20"/>
        </w:rPr>
        <w:t xml:space="preserve">Update any step in Excel or Smartsheet, save, then click 'Refresh Now'</w:t>
      </w:r>
    </w:p>
    <w:p>
      <w:pPr>
        <w:pStyle w:val="ListParagraph"/>
        <w:numPr>
          <w:ilvl w:val="0"/>
          <w:numId w:val="3"/>
        </w:numPr>
        <w:spacing w:after="60" w:before="0"/>
      </w:pPr>
      <w:r>
        <w:rPr>
          <w:rFonts w:ascii="Arial" w:cs="Arial" w:eastAsia="Arial" w:hAnsi="Arial"/>
          <w:color w:val="1E2D3D"/>
          <w:sz w:val="20"/>
          <w:szCs w:val="20"/>
        </w:rPr>
        <w:t xml:space="preserve">Press Ctrl+C in Terminal to stop the server (auto-start will restart it at next login)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AEA" w:sz="4"/>
      </w:pBdr>
      <w:tabs>
        <w:tab w:val="right" w:pos="10080"/>
      </w:tabs>
    </w:pPr>
    <w:r>
      <w:rPr>
        <w:rFonts w:ascii="Arial" w:cs="Arial" w:eastAsia="Arial" w:hAnsi="Arial"/>
        <w:color w:val="5A6E82"/>
        <w:sz w:val="16"/>
        <w:szCs w:val="16"/>
      </w:rPr>
      <w:t xml:space="preserve">Confidential — Internal Use Only</w:t>
    </w:r>
    <w:r>
      <w:rPr>
        <w:rFonts w:ascii="Arial" w:cs="Arial" w:eastAsia="Arial" w:hAnsi="Arial"/>
      </w:rPr>
      <w:t xml:space="preserve">	</w:t>
    </w:r>
    <w:r>
      <w:rPr>
        <w:rFonts w:ascii="Arial" w:cs="Arial" w:eastAsia="Arial" w:hAnsi="Arial"/>
        <w:color w:val="5A6E82"/>
        <w:sz w:val="16"/>
        <w:szCs w:val="16"/>
      </w:rPr>
      <w:t xml:space="preserve">Page </w:t>
    </w:r>
    <w:r>
      <w:rPr>
        <w:rFonts w:ascii="Arial" w:cs="Arial" w:eastAsia="Arial" w:hAnsi="Arial"/>
        <w:color w:val="5A6E82"/>
        <w:sz w:val="16"/>
        <w:szCs w:val="16"/>
      </w:rPr>
      <w:fldChar w:fldCharType="begin"/>
      <w:instrText xml:space="preserve">PAGE</w:instrText>
      <w:fldChar w:fldCharType="separate"/>
      <w:fldChar w:fldCharType="end"/>
    </w:r>
    <w:r>
      <w:rPr>
        <w:rFonts w:ascii="Arial" w:cs="Arial" w:eastAsia="Arial" w:hAnsi="Arial"/>
        <w:color w:val="5A6E82"/>
        <w:sz w:val="16"/>
        <w:szCs w:val="16"/>
      </w:rPr>
      <w:t xml:space="preserve"> of </w:t>
    </w:r>
    <w:r>
      <w:rPr>
        <w:rFonts w:ascii="Arial" w:cs="Arial" w:eastAsia="Arial" w:hAnsi="Arial"/>
        <w:color w:val="5A6E8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2CE" w:sz="4"/>
      </w:pBdr>
      <w:tabs>
        <w:tab w:val="right" w:pos="10080"/>
      </w:tabs>
    </w:pPr>
    <w:r>
      <w:rPr>
        <w:rFonts w:ascii="Arial" w:cs="Arial" w:eastAsia="Arial" w:hAnsi="Arial"/>
        <w:color w:val="5A6E82"/>
        <w:sz w:val="18"/>
        <w:szCs w:val="18"/>
      </w:rPr>
      <w:t xml:space="preserve">AI-Powered BIN Procurement Tracker  —  PRD v1.0</w:t>
    </w:r>
    <w:r>
      <w:rPr>
        <w:rFonts w:ascii="Arial" w:cs="Arial" w:eastAsia="Arial" w:hAnsi="Arial"/>
      </w:rPr>
      <w:t xml:space="preserve">	</w:t>
    </w:r>
    <w:r>
      <w:rPr>
        <w:rFonts w:ascii="Arial" w:cs="Arial" w:eastAsia="Arial" w:hAnsi="Arial"/>
        <w:color w:val="5A6E82"/>
        <w:sz w:val="18"/>
        <w:szCs w:val="18"/>
      </w:rPr>
      <w:t xml:space="preserve">Robin Khatwani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D3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C"/>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0072CE"/>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E2D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2026-05-10T17:09:14.399Z</dcterms:created>
  <dcterms:modified xsi:type="dcterms:W3CDTF">2026-05-10T17:09:14.399Z</dcterms:modified>
</cp:coreProperties>
</file>

<file path=docProps/custom.xml><?xml version="1.0" encoding="utf-8"?>
<Properties xmlns="http://schemas.openxmlformats.org/officeDocument/2006/custom-properties" xmlns:vt="http://schemas.openxmlformats.org/officeDocument/2006/docPropsVTypes"/>
</file>