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D43DF1">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D43DF1">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D43DF1">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D43DF1">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D43DF1">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D43DF1">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D43DF1">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D43DF1">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D43DF1">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D43DF1">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D43DF1">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D43DF1">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D43DF1">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D43DF1">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57CC5098" w14:textId="180683D4" w:rsidR="004017DE" w:rsidRPr="004017DE" w:rsidRDefault="004017DE" w:rsidP="00431A92">
      <w:pPr>
        <w:rPr>
          <w:b/>
          <w:bCs/>
          <w:color w:val="007DEB" w:themeColor="background2" w:themeShade="80"/>
          <w:sz w:val="28"/>
          <w:szCs w:val="28"/>
        </w:rPr>
      </w:pPr>
      <w:r w:rsidRPr="004017DE">
        <w:rPr>
          <w:b/>
          <w:bCs/>
          <w:color w:val="007DEB" w:themeColor="background2" w:themeShade="80"/>
          <w:sz w:val="28"/>
          <w:szCs w:val="28"/>
        </w:rPr>
        <w:t xml:space="preserve">//TODO Context </w:t>
      </w:r>
      <w:r w:rsidR="00E1048D">
        <w:rPr>
          <w:b/>
          <w:bCs/>
          <w:color w:val="007DEB" w:themeColor="background2" w:themeShade="80"/>
          <w:sz w:val="28"/>
          <w:szCs w:val="28"/>
        </w:rPr>
        <w:t>m</w:t>
      </w:r>
      <w:r w:rsidRPr="004017DE">
        <w:rPr>
          <w:b/>
          <w:bCs/>
          <w:color w:val="007DEB" w:themeColor="background2" w:themeShade="80"/>
          <w:sz w:val="28"/>
          <w:szCs w:val="28"/>
        </w:rPr>
        <w:t>ap invoegen</w:t>
      </w:r>
    </w:p>
    <w:p w14:paraId="79198819" w14:textId="04818804" w:rsidR="00431A92" w:rsidRDefault="00431A92" w:rsidP="00431A92">
      <w:pPr>
        <w:pStyle w:val="Kop1"/>
      </w:pPr>
      <w:bookmarkStart w:id="6" w:name="_Toc40108905"/>
      <w:r>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8" w:name="_Toc40108907"/>
      <w:r>
        <w:lastRenderedPageBreak/>
        <w:t>5.1 Microservices en Domain Driven Design</w:t>
      </w:r>
      <w:bookmarkEnd w:id="8"/>
    </w:p>
    <w:p w14:paraId="6A8348A7" w14:textId="49871984" w:rsidR="00431A92" w:rsidRDefault="00431A92" w:rsidP="00431A92"/>
    <w:p w14:paraId="5EEAB78A" w14:textId="13B8D468" w:rsidR="00431A92" w:rsidRDefault="00431A92" w:rsidP="00431A92">
      <w:pPr>
        <w:pStyle w:val="Kop2"/>
      </w:pPr>
      <w:bookmarkStart w:id="9" w:name="_Toc40108908"/>
      <w:r>
        <w:t>5.2 Eventual consistency</w:t>
      </w:r>
      <w:bookmarkEnd w:id="9"/>
    </w:p>
    <w:p w14:paraId="34B94F95" w14:textId="2F791646" w:rsidR="00431A92" w:rsidRDefault="00375626" w:rsidP="00431A92">
      <w:r>
        <w:t xml:space="preserve">Eventual consistency wordt in onze solution gewaarborgd door de </w:t>
      </w:r>
      <w:proofErr w:type="spellStart"/>
      <w:r>
        <w:t>RabbitMQ</w:t>
      </w:r>
      <w:proofErr w:type="spellEnd"/>
      <w:r>
        <w:t xml:space="preserve"> queues. Een aantal services luisteren namelijk naar events van andere services om hun eigen data bij te werken, een aantal voorbeelden zijn: de </w:t>
      </w:r>
      <w:proofErr w:type="spellStart"/>
      <w:r>
        <w:t>catalog</w:t>
      </w:r>
      <w:proofErr w:type="spellEnd"/>
      <w:r>
        <w:t xml:space="preserve">-query service luistert naar de </w:t>
      </w:r>
      <w:proofErr w:type="spellStart"/>
      <w:r>
        <w:t>catalog-command</w:t>
      </w:r>
      <w:proofErr w:type="spellEnd"/>
      <w:r>
        <w:t xml:space="preserve"> service en de order service luistert naar zowel de </w:t>
      </w:r>
      <w:proofErr w:type="spellStart"/>
      <w:r>
        <w:t>catalog-command</w:t>
      </w:r>
      <w:proofErr w:type="spellEnd"/>
      <w:r>
        <w:t xml:space="preserve"> service en de </w:t>
      </w:r>
      <w:proofErr w:type="spellStart"/>
      <w:r>
        <w:t>transporter</w:t>
      </w:r>
      <w:proofErr w:type="spellEnd"/>
      <w:r>
        <w:t xml:space="preserve"> 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0" w:name="_Toc40108909"/>
      <w:r>
        <w:t>5.3 Event driven architecture</w:t>
      </w:r>
      <w:bookmarkEnd w:id="10"/>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w:t>
      </w:r>
      <w:proofErr w:type="spellStart"/>
      <w:r>
        <w:t>RabbitMQ</w:t>
      </w:r>
      <w:proofErr w:type="spellEnd"/>
      <w:r>
        <w:t xml:space="preserve">. In het geval dat er een verandering plaatsvind in één van de services gaat er automatisch een bericht met de verandering de exchange op. Er is gekozen voor een topic exchange en dat betekend dat alle events een </w:t>
      </w:r>
      <w:proofErr w:type="spellStart"/>
      <w:r>
        <w:t>key</w:t>
      </w:r>
      <w:proofErr w:type="spellEnd"/>
      <w:r>
        <w:t xml:space="preserve">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support.replied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support.closed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order.edited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lastRenderedPageBreak/>
              <w:t>transporter.deleted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transporter.assigned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431A92" w:rsidRDefault="00431A92" w:rsidP="00431A92">
      <w:pPr>
        <w:pStyle w:val="Kop2"/>
      </w:pPr>
      <w:bookmarkStart w:id="11" w:name="_Toc40108910"/>
      <w:r>
        <w:t>5.4 Command Query Responsibility Segregation (CQRS)</w:t>
      </w:r>
      <w:bookmarkEnd w:id="11"/>
    </w:p>
    <w:p w14:paraId="56695FCE" w14:textId="1E7C55FC" w:rsidR="00BD3ED6" w:rsidRDefault="00BD3ED6" w:rsidP="00431A92">
      <w:r>
        <w:t xml:space="preserve">Command Query Responsibility Segregation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w:t>
      </w:r>
      <w:proofErr w:type="spellStart"/>
      <w:r>
        <w:t>MySQL</w:t>
      </w:r>
      <w:proofErr w:type="spellEnd"/>
      <w:r>
        <w:t xml:space="preserve"> database met </w:t>
      </w:r>
      <w:proofErr w:type="spellStart"/>
      <w:r>
        <w:t>indexes</w:t>
      </w:r>
      <w:proofErr w:type="spellEnd"/>
      <w:r>
        <w:t xml:space="preserve"> op de _</w:t>
      </w:r>
      <w:proofErr w:type="spellStart"/>
      <w:r>
        <w:t>id</w:t>
      </w:r>
      <w:proofErr w:type="spellEnd"/>
      <w:r>
        <w:t xml:space="preserve"> en name column. De andere is dan geoptimaliseerd op het genormaliseerd en netjes opslaan en valideren van de data, in dit geval een </w:t>
      </w:r>
      <w:proofErr w:type="spellStart"/>
      <w:r>
        <w:t>MongoDB</w:t>
      </w:r>
      <w:proofErr w:type="spellEnd"/>
      <w:r>
        <w:t xml:space="preserve">.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w:t>
      </w:r>
      <w:proofErr w:type="spellStart"/>
      <w:r w:rsidR="003B7CF2">
        <w:t>MySQL</w:t>
      </w:r>
      <w:proofErr w:type="spellEnd"/>
      <w:r w:rsidR="003B7CF2">
        <w:t xml:space="preserve">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w:t>
      </w:r>
      <w:proofErr w:type="spellStart"/>
      <w:r w:rsidR="003B7CF2">
        <w:t>MySQL</w:t>
      </w:r>
      <w:proofErr w:type="spellEnd"/>
      <w:r w:rsidR="003B7CF2">
        <w:t xml:space="preserve">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Default="00431A92" w:rsidP="00431A92">
      <w:pPr>
        <w:pStyle w:val="Kop2"/>
      </w:pPr>
      <w:bookmarkStart w:id="12" w:name="_Toc40108911"/>
      <w:r>
        <w:t>5.5 Event sourcing</w:t>
      </w:r>
      <w:bookmarkEnd w:id="12"/>
    </w:p>
    <w:p w14:paraId="47B938C3" w14:textId="27C36FA0" w:rsidR="00431A92" w:rsidRDefault="00431A92" w:rsidP="00431A92"/>
    <w:p w14:paraId="0F9E1E5A" w14:textId="36CE356F" w:rsidR="00431A92" w:rsidRDefault="00431A92" w:rsidP="00431A92">
      <w:pPr>
        <w:pStyle w:val="Kop2"/>
      </w:pPr>
      <w:bookmarkStart w:id="13" w:name="_Toc40108912"/>
      <w:r>
        <w:t>5.6 Enterprise integration patterns</w:t>
      </w:r>
      <w:bookmarkEnd w:id="13"/>
    </w:p>
    <w:p w14:paraId="1FE4B5E6" w14:textId="2422F27A" w:rsidR="00431A92" w:rsidRDefault="00431A92" w:rsidP="00431A92"/>
    <w:p w14:paraId="597D0945" w14:textId="601503CD" w:rsidR="00431A92" w:rsidRPr="00431A92" w:rsidRDefault="00431A92" w:rsidP="00431A92">
      <w:pPr>
        <w:pStyle w:val="Kop2"/>
      </w:pPr>
      <w:bookmarkStart w:id="14" w:name="_Toc40108913"/>
      <w:r>
        <w:t>5.7 Containerization</w:t>
      </w:r>
      <w:bookmarkEnd w:id="14"/>
    </w:p>
    <w:p w14:paraId="11BAA52B" w14:textId="77777777" w:rsidR="00431A92" w:rsidRPr="00431A92" w:rsidRDefault="00431A92" w:rsidP="00431A92"/>
    <w:sectPr w:rsidR="00431A92" w:rsidRPr="00431A92"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44BE6" w14:textId="77777777" w:rsidR="00D43DF1" w:rsidRDefault="00D43DF1" w:rsidP="00C6554A">
      <w:pPr>
        <w:spacing w:before="0" w:after="0" w:line="240" w:lineRule="auto"/>
      </w:pPr>
      <w:r>
        <w:separator/>
      </w:r>
    </w:p>
  </w:endnote>
  <w:endnote w:type="continuationSeparator" w:id="0">
    <w:p w14:paraId="5F301AC0" w14:textId="77777777" w:rsidR="00D43DF1" w:rsidRDefault="00D43D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07703" w14:textId="77777777" w:rsidR="00D43DF1" w:rsidRDefault="00D43DF1" w:rsidP="00C6554A">
      <w:pPr>
        <w:spacing w:before="0" w:after="0" w:line="240" w:lineRule="auto"/>
      </w:pPr>
      <w:r>
        <w:separator/>
      </w:r>
    </w:p>
  </w:footnote>
  <w:footnote w:type="continuationSeparator" w:id="0">
    <w:p w14:paraId="3D04CA70" w14:textId="77777777" w:rsidR="00D43DF1" w:rsidRDefault="00D43DF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22FB0"/>
    <w:rsid w:val="001211AF"/>
    <w:rsid w:val="002255EF"/>
    <w:rsid w:val="002554CD"/>
    <w:rsid w:val="0029376A"/>
    <w:rsid w:val="00293B83"/>
    <w:rsid w:val="002B4294"/>
    <w:rsid w:val="00333D0D"/>
    <w:rsid w:val="00375626"/>
    <w:rsid w:val="003A2104"/>
    <w:rsid w:val="003B7CF2"/>
    <w:rsid w:val="003C5C00"/>
    <w:rsid w:val="004017DE"/>
    <w:rsid w:val="00431A92"/>
    <w:rsid w:val="0043252E"/>
    <w:rsid w:val="004908B5"/>
    <w:rsid w:val="004A4AB5"/>
    <w:rsid w:val="004C049F"/>
    <w:rsid w:val="005000E2"/>
    <w:rsid w:val="006511E2"/>
    <w:rsid w:val="006A3CE7"/>
    <w:rsid w:val="00817C07"/>
    <w:rsid w:val="0089714F"/>
    <w:rsid w:val="00AB6D6B"/>
    <w:rsid w:val="00AD7475"/>
    <w:rsid w:val="00B2055A"/>
    <w:rsid w:val="00B742E4"/>
    <w:rsid w:val="00BD3ED6"/>
    <w:rsid w:val="00BF68C5"/>
    <w:rsid w:val="00C6554A"/>
    <w:rsid w:val="00D27AFB"/>
    <w:rsid w:val="00D43DF1"/>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D8A91-E775-4471-84EF-5723CE73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259</TotalTime>
  <Pages>8</Pages>
  <Words>2013</Words>
  <Characters>11077</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Sjoerd Schepers</cp:lastModifiedBy>
  <cp:revision>10</cp:revision>
  <dcterms:created xsi:type="dcterms:W3CDTF">2020-05-11T14:13:00Z</dcterms:created>
  <dcterms:modified xsi:type="dcterms:W3CDTF">2020-05-16T17:17:00Z</dcterms:modified>
</cp:coreProperties>
</file>