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NON-DISCLOSURE AGREEMENT</w:t>
      </w:r>
    </w:p>
    <w:p>
      <w:r>
        <w:t xml:space="preserve">This Non-Disclosure Agreement (this "Agreement") is entered into as of the date last signed below (the "Effective Date") by and between Acme Corporation, a Delaware corporation ("Disclosing Party"), and the undersigned party ("Receiving Party").</w:t>
      </w:r>
    </w:p>
    <w:p>
      <w:pPr>
        <w:pStyle w:val="Heading2"/>
      </w:pPr>
      <w:r>
        <w:t>1. Definition of Confidential Information</w:t>
      </w:r>
    </w:p>
    <w:p>
      <w:r>
        <w:t xml:space="preserve">"Confidential Information" means any and all non-public, proprietary, or confidential information disclosed by the Disclosing Party to the Receiving Party, whether orally, in writing, or by any other means, including but not limited to trade secrets, business plans, financial data, customer lists, technical specifications, and software code.</w:t>
      </w:r>
    </w:p>
    <w:p>
      <w:pPr>
        <w:pStyle w:val="Heading2"/>
      </w:pPr>
      <w:r>
        <w:t>2. Obligations of the Receiving Party</w:t>
      </w:r>
    </w:p>
    <w:p>
      <w:r>
        <w:t xml:space="preserve">The Receiving Party agrees to hold all Confidential Information in strict confidence and shall not disclose, publish, or otherwise disseminate any Confidential Information to any third party without the prior written consent of the Disclosing Party. The Receiving Party shall use the Confidential Information solely for the purpose of evaluating or engaging in a potential business relationship with the Disclosing Party (the "Purpose").</w:t>
      </w:r>
    </w:p>
    <w:p>
      <w:r>
        <w:t xml:space="preserve">The Receiving Party shall protect the Confidential Information using the same degree of care it uses to protect its own confidential information, but in no event less than reasonable care. The Receiving Party shall limit access to the Confidential Information to those of its employees, agents, and advisors who have a need to know and who are bound by confidentiality obligations no less restrictive than those contained herein.</w:t>
      </w:r>
    </w:p>
    <w:p>
      <w:pPr>
        <w:pStyle w:val="Heading2"/>
      </w:pPr>
      <w:r>
        <w:t>3. Term and Duration</w:t>
      </w:r>
    </w:p>
    <w:p>
      <w:r>
        <w:t xml:space="preserve">This Agreement shall commence on the Effective Date and shall remain in effect in perpetuity. The obligations of the Receiving Party with respect to the Confidential Information shall survive in perpetuity, regardless of any termination or expiration of the business relationship between the parties.</w:t>
      </w:r>
    </w:p>
    <w:p>
      <w:pPr>
        <w:pStyle w:val="Heading2"/>
      </w:pPr>
      <w:r>
        <w:t>4. Return of Materials</w:t>
      </w:r>
    </w:p>
    <w:p>
      <w:r>
        <w:t xml:space="preserve">Upon written request by the Disclosing Party, the Receiving Party shall promptly return or destroy all materials containing Confidential Information and shall certify in writing that it has done so.</w:t>
      </w:r>
    </w:p>
    <w:p>
      <w:pPr>
        <w:pStyle w:val="Heading2"/>
      </w:pPr>
      <w:r>
        <w:t>5. Remedies</w:t>
      </w:r>
    </w:p>
    <w:p>
      <w:r>
        <w:t xml:space="preserve">The Receiving Party acknowledges that any breach of this Agreement may cause irreparable harm to the Disclosing Party for which monetary damages would be an inadequate remedy. Accordingly, the Disclosing Party shall be entitled to seek equitable relief, including injunction and specific performance, in addition to all other remedies available at law or in equity.</w:t>
      </w:r>
    </w:p>
    <w:p>
      <w:pPr>
        <w:pStyle w:val="Heading2"/>
      </w:pPr>
      <w:r>
        <w:t>6. Governing Law</w:t>
      </w:r>
    </w:p>
    <w:p>
      <w:r>
        <w:t xml:space="preserve">This Agreement shall be governed by and construed in accordance with the laws of the State of Delaware, without regard to its conflict of laws principles.</w:t>
      </w:r>
    </w:p>
    <w:p>
      <w:pPr>
        <w:pStyle w:val="Heading2"/>
      </w:pPr>
      <w:r>
        <w:t>7. Entire Agreement</w:t>
      </w:r>
    </w:p>
    <w:p>
      <w:r>
        <w:t xml:space="preserve">This Agreement constitutes the entire agreement between the parties with respect to the subject matter hereof and supersedes all prior and contemporaneous agreements, understandings, negotiations, and discussions, whether oral or written, between the parties.</w:t>
      </w:r>
    </w:p>
    <w:p>
      <w:r>
        <w:t xml:space="preserve">IN WITNESS WHEREOF, the parties have executed this Agreement as of the Effective Date.</w:t>
      </w:r>
    </w:p>
  </w:body>
</w:document>
</file>

<file path=word/styles.xml><?xml version="1.0" encoding="utf-8"?>
<w:styles xmlns:w="http://schemas.openxmlformats.org/wordprocessingml/2006/main">
  <w:style w:type="paragraph" w:styleId="Heading1">
    <w:name w:val="heading 1"/>
    <w:pPr>
      <w:outlineLvl w:val="0"/>
    </w:pPr>
    <w:rPr>
      <w:b/>
      <w:sz w:val="28"/>
    </w:rPr>
  </w:style>
  <w:style w:type="paragraph" w:styleId="Heading2">
    <w:name w:val="heading 2"/>
    <w:pPr>
      <w:outlineLvl w:val="1"/>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