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500"/>
        <w:tblBorders>
          <w:top w:val="none"/>
          <w:left w:val="none"/>
          <w:bottom w:val="none"/>
          <w:right w:val="none"/>
          <w:insideH w:val="none"/>
          <w:insideV w:val="none"/>
        </w:tblBorders>
      </w:tblPr>
      <w:tblGrid>
        <w:gridCol w:w="8600"/>
        <w:gridCol w:w="1900"/>
      </w:tblGrid>
      <w:tr>
        <w:tc>
          <w:tcPr>
            <w:tcW w:type="dxa" w:w="8600"/>
            <w:shd w:fill="313C4E" w:val="clear"/>
            <w:tcMar>
              <w:top w:type="dxa" w:w="220"/>
              <w:left w:type="dxa" w:w="260"/>
              <w:bottom w:type="dxa" w:w="220"/>
              <w:right w:type="dxa" w:w="160"/>
            </w:tcMar>
            <w:vAlign w:val="center"/>
          </w:tcPr>
          <w:p>
            <w:pPr>
              <w:spacing w:after="20"/>
            </w:pPr>
            <w:r>
              <w:rPr>
                <w:b/>
                <w:bCs/>
                <w:color w:val="FFFFFF"/>
                <w:sz w:val="40"/>
                <w:szCs w:val="40"/>
              </w:rPr>
              <w:t xml:space="preserve">Robin Singh Rajawat</w:t>
            </w:r>
            <w:r>
              <w:rPr>
                <w:sz w:val="20"/>
                <w:szCs w:val="20"/>
              </w:rPr>
              <w:t xml:space="preserve">  </w:t>
            </w:r>
            <w:hyperlink r:id="rId16">
              <w:r>
                <w:rPr>
                  <w:b/>
                  <w:bCs/>
                  <w:color w:val="FFFFFF"/>
                  <w:sz w:val="16"/>
                  <w:szCs w:val="16"/>
                  <w:shd w:val="clear" w:color="auto" w:fill="449399"/>
                </w:rPr>
                <w:t xml:space="preserve"> Portfolio ↗ </w:t>
              </w:r>
            </w:hyperlink>
          </w:p>
          <w:p>
            <w:pPr>
              <w:spacing w:after="120"/>
            </w:pPr>
            <w:r>
              <w:rPr>
                <w:color w:val="78C4CC"/>
                <w:sz w:val="24"/>
                <w:szCs w:val="24"/>
              </w:rPr>
              <w:t xml:space="preserve">SAP EWM Solution Architect</w:t>
            </w:r>
          </w:p>
          <w:p>
            <w:pPr>
              <w:spacing w:after="20"/>
            </w:pPr>
            <w:hyperlink r:id="rId14">
              <w:r>
                <w:rPr>
                  <w:color w:val="D7DAE0"/>
                  <w:sz w:val="17"/>
                  <w:szCs w:val="17"/>
                </w:rPr>
                <w:t xml:space="preserve">robinsinghrajawat@gmail.com</w:t>
              </w:r>
            </w:hyperlink>
            <w:r>
              <w:rPr>
                <w:color w:val="D7DAE0"/>
                <w:sz w:val="17"/>
                <w:szCs w:val="17"/>
              </w:rPr>
              <w:t xml:space="preserve">  ·  +45 31 88 94 18  ·  Vejen, Denmark</w:t>
            </w:r>
          </w:p>
          <w:p>
            <w:hyperlink r:id="rId15">
              <w:r>
                <w:rPr>
                  <w:color w:val="D7DAE0"/>
                  <w:sz w:val="17"/>
                  <w:szCs w:val="17"/>
                </w:rPr>
                <w:t xml:space="preserve">linkedin.com/in/robinrajawat</w:t>
              </w:r>
            </w:hyperlink>
            <w:r>
              <w:rPr>
                <w:color w:val="D7DAE0"/>
                <w:sz w:val="17"/>
                <w:szCs w:val="17"/>
              </w:rPr>
              <w:t xml:space="preserve">  ·  </w:t>
            </w:r>
            <w:hyperlink r:id="rId16">
              <w:r>
                <w:rPr>
                  <w:color w:val="D7DAE0"/>
                  <w:sz w:val="17"/>
                  <w:szCs w:val="17"/>
                </w:rPr>
                <w:t xml:space="preserve">robinrajawat.github.io/portfolio</w:t>
              </w:r>
            </w:hyperlink>
          </w:p>
        </w:tc>
        <w:tc>
          <w:tcPr>
            <w:tcW w:type="dxa" w:w="1900"/>
            <w:shd w:fill="313C4E" w:val="clear"/>
            <w:tcMar>
              <w:top w:type="dxa" w:w="220"/>
              <w:left w:type="dxa" w:w="100"/>
              <w:bottom w:type="dxa" w:w="220"/>
              <w:right w:type="dxa" w:w="220"/>
            </w:tcMar>
            <w:vAlign w:val="center"/>
          </w:tcPr>
          <w:p>
            <w:pPr>
              <w:jc w:val="center"/>
            </w:pPr>
            <w:r>
              <w:drawing>
                <wp:inline distT="0" distB="0" distL="0" distR="0">
                  <wp:extent cx="7429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42950" cy="742950"/>
                          </a:xfrm>
                          <a:prstGeom prst="rect">
                            <a:avLst/>
                          </a:prstGeom>
                        </pic:spPr>
                      </pic:pic>
                    </a:graphicData>
                  </a:graphic>
                </wp:inline>
              </w:drawing>
            </w:r>
          </w:p>
        </w:tc>
      </w:tr>
    </w:tbl>
    <w:p>
      <w:pPr>
        <w:spacing w:after="60" w:before="160"/>
      </w:pPr>
      <w:r>
        <w:rPr>
          <w:sz w:val="20"/>
          <w:szCs w:val="20"/>
        </w:rPr>
        <w:t xml:space="preserve">SAP EWM Solution Architect with 11+ years leading EWM, S/4HANA, ECC, and CRM implementations — combining deep warehouse and order-to-cash (OTC) expertise with hands-on technical development in ABAP, Fiori, and RAP. I've delivered solutions across mining, railway, IT services, and sourcing &amp; services industries, and currently architect large-scale warehouse automation and integration modernization at Solar Group. Strong communicator and consultant, with leadership experience across cross-functional teams.</w:t>
      </w:r>
    </w:p>
    <w:p>
      <w:pPr>
        <w:pBdr>
          <w:bottom w:val="single" w:color="449399" w:sz="10" w:space="4"/>
        </w:pBdr>
        <w:spacing w:after="90" w:before="260"/>
      </w:pPr>
      <w:r>
        <w:rPr>
          <w:b/>
          <w:bCs/>
          <w:caps/>
          <w:color w:val="313C4E"/>
          <w:spacing w:val="6"/>
          <w:sz w:val="24"/>
          <w:szCs w:val="24"/>
        </w:rPr>
        <w:t xml:space="preserve">Work Experience</w:t>
      </w:r>
    </w:p>
    <w:p>
      <w:pPr>
        <w:tabs>
          <w:tab w:val="right" w:pos="9360"/>
        </w:tabs>
        <w:spacing w:after="10" w:before="60"/>
      </w:pPr>
      <w:r>
        <w:rPr>
          <w:b/>
          <w:bCs/>
          <w:sz w:val="22"/>
          <w:szCs w:val="22"/>
        </w:rPr>
        <w:t xml:space="preserve">Solution Architect — EWM</w:t>
      </w:r>
      <w:r>
        <w:rPr>
          <w:b/>
          <w:bCs/>
          <w:color w:val="449399"/>
          <w:sz w:val="22"/>
          <w:szCs w:val="22"/>
        </w:rPr>
        <w:t xml:space="preserve">  —  Solar Group</w:t>
      </w:r>
      <w:r>
        <w:ptab w:alignment="right" w:leader="none"/>
      </w:r>
      <w:r>
        <w:rPr>
          <w:i/>
          <w:iCs/>
          <w:color w:val="595959"/>
          <w:sz w:val="18"/>
          <w:szCs w:val="18"/>
        </w:rPr>
        <w:t xml:space="preserve">Jul 2023 – Present</w:t>
      </w:r>
    </w:p>
    <w:p>
      <w:pPr>
        <w:spacing w:after="70"/>
      </w:pPr>
      <w:r>
        <w:rPr>
          <w:i/>
          <w:iCs/>
          <w:color w:val="595959"/>
          <w:sz w:val="18"/>
          <w:szCs w:val="18"/>
        </w:rPr>
        <w:t xml:space="preserve">Vejen, Denmark  ·  Sourcing and services company</w:t>
      </w:r>
    </w:p>
    <w:p>
      <w:pPr>
        <w:pStyle w:val="ListParagraph"/>
        <w:numPr>
          <w:ilvl w:val="0"/>
          <w:numId w:val="2"/>
        </w:numPr>
        <w:spacing w:after="90"/>
      </w:pPr>
      <w:r>
        <w:rPr>
          <w:b/>
          <w:bCs/>
          <w:sz w:val="20"/>
          <w:szCs w:val="20"/>
        </w:rPr>
        <w:t xml:space="preserve">Current focus: </w:t>
      </w:r>
      <w:r>
        <w:rPr>
          <w:sz w:val="20"/>
          <w:szCs w:val="20"/>
        </w:rPr>
        <w:t xml:space="preserve">architecting new customer delivery experience improvements and modernizing the integration landscape (migrating from SAP PI/PO to Integration Suite).</w:t>
      </w:r>
    </w:p>
    <w:p>
      <w:pPr>
        <w:pStyle w:val="ListParagraph"/>
        <w:numPr>
          <w:ilvl w:val="0"/>
          <w:numId w:val="2"/>
        </w:numPr>
        <w:spacing w:after="90"/>
      </w:pPr>
      <w:r>
        <w:rPr>
          <w:sz w:val="20"/>
          <w:szCs w:val="20"/>
        </w:rPr>
        <w:t xml:space="preserve">Led the implementation of a new, modern automated warehouse — future-proofing operations by consolidating two legacy sites into one facility handling 18–20K pick lines per day — bringing together Autostore for small-goods automation, Honeycomb's cassette management system for long goods, STILL's iGo Flow for AGV/AMR/VNA pallet automation and iGo Pilot for PXVs, and Kardex Shuttle for cable goods. Delivered on time with smooth day-one operations, through proactive planning and close coordination with the business.</w:t>
      </w:r>
    </w:p>
    <w:p>
      <w:pPr>
        <w:pStyle w:val="ListParagraph"/>
        <w:numPr>
          <w:ilvl w:val="0"/>
          <w:numId w:val="2"/>
        </w:numPr>
        <w:spacing w:after="90"/>
      </w:pPr>
      <w:r>
        <w:rPr>
          <w:sz w:val="20"/>
          <w:szCs w:val="20"/>
        </w:rPr>
        <w:t xml:space="preserve">EWM/nShift Architect for Fastbox 2.0, giving customers more flexible delivery scheduling by place and time window — designed the process changes on the EWM and nShift side, including interface changes between EWM–ERP and EWM–nShift. Well received by customers.</w:t>
      </w:r>
    </w:p>
    <w:p>
      <w:pPr>
        <w:pStyle w:val="ListParagraph"/>
        <w:numPr>
          <w:ilvl w:val="0"/>
          <w:numId w:val="2"/>
        </w:numPr>
        <w:spacing w:after="90"/>
      </w:pPr>
      <w:r>
        <w:rPr>
          <w:sz w:val="20"/>
          <w:szCs w:val="20"/>
        </w:rPr>
        <w:t xml:space="preserve">Delivered real-time Wave Item Clearing integration with the picking application to prioritize picking and replenishment — raising throughput with fewer man-hours.</w:t>
      </w:r>
    </w:p>
    <w:p>
      <w:pPr>
        <w:pStyle w:val="ListParagraph"/>
        <w:numPr>
          <w:ilvl w:val="0"/>
          <w:numId w:val="2"/>
        </w:numPr>
        <w:spacing w:after="90"/>
      </w:pPr>
      <w:r>
        <w:rPr>
          <w:sz w:val="20"/>
          <w:szCs w:val="20"/>
        </w:rPr>
        <w:t xml:space="preserve">Led the migration from Decentralized EWM 9.5 to Decentralized EWM on S/4HANA (RISE, Private Cloud Edition) across 5 warehouses — a first-of-its-kind migration with a tight downtime window and no established playbook to follow. Owned the technical design and worked out how to execute the cutover, authored a ~260-page configuration and change reference documenting the process, and coordinated across internal teams and vendors throughout. Went live on time with zero data loss, smooth operations from day one, and hypercare significantly shorter than expected.</w:t>
      </w:r>
    </w:p>
    <w:p>
      <w:pPr>
        <w:pStyle w:val="ListParagraph"/>
        <w:numPr>
          <w:ilvl w:val="0"/>
          <w:numId w:val="2"/>
        </w:numPr>
        <w:spacing w:after="90"/>
      </w:pPr>
      <w:r>
        <w:rPr>
          <w:sz w:val="20"/>
          <w:szCs w:val="20"/>
        </w:rPr>
        <w:t xml:space="preserve">Delivered warehouse automation upgrades — replacing manual sorting with automatic sorting in the dispatch area, and introducing robotic-arm picking from the Autostore terminal — cutting manual scan time, saving man hours, and raising throughput.</w:t>
      </w:r>
    </w:p>
    <w:p>
      <w:pPr>
        <w:pStyle w:val="ListParagraph"/>
        <w:numPr>
          <w:ilvl w:val="0"/>
          <w:numId w:val="2"/>
        </w:numPr>
        <w:spacing w:after="90"/>
      </w:pPr>
      <w:r>
        <w:rPr>
          <w:sz w:val="20"/>
          <w:szCs w:val="20"/>
        </w:rPr>
        <w:t xml:space="preserve">Owned the EWM architecture side of the ECC to S/4HANA migration — supporting the ERP team with cutover planning and problem-solving, drawing on cross-functional logistics and SD experience.</w:t>
      </w:r>
    </w:p>
    <w:p>
      <w:pPr>
        <w:pStyle w:val="ListParagraph"/>
        <w:numPr>
          <w:ilvl w:val="0"/>
          <w:numId w:val="2"/>
        </w:numPr>
        <w:spacing w:after="90"/>
      </w:pPr>
      <w:r>
        <w:rPr>
          <w:sz w:val="20"/>
          <w:szCs w:val="20"/>
        </w:rPr>
        <w:t xml:space="preserve">Coordinated and supported the infrastructure move from an in-house data center to an external partner, working closely across vendors.</w:t>
      </w:r>
    </w:p>
    <w:p>
      <w:pPr>
        <w:pStyle w:val="ListParagraph"/>
        <w:numPr>
          <w:ilvl w:val="0"/>
          <w:numId w:val="2"/>
        </w:numPr>
        <w:spacing w:after="90"/>
      </w:pPr>
      <w:r>
        <w:rPr>
          <w:sz w:val="20"/>
          <w:szCs w:val="20"/>
        </w:rPr>
        <w:t xml:space="preserve">Architected SmartKit Orders, a Solar webshop feature letting customers order pre-packed, project-specific material kits — designing the EWM fulfillment side: picking and packing materials into a single labeled kit per order.</w:t>
      </w:r>
    </w:p>
    <w:p>
      <w:pPr>
        <w:pStyle w:val="ListParagraph"/>
        <w:numPr>
          <w:ilvl w:val="0"/>
          <w:numId w:val="2"/>
        </w:numPr>
        <w:spacing w:after="90"/>
      </w:pPr>
      <w:r>
        <w:rPr>
          <w:sz w:val="20"/>
          <w:szCs w:val="20"/>
        </w:rPr>
        <w:t xml:space="preserve">Led development of a Fiori warehouse cockpit for executive-level, one-click visibility into picking and putaway progress across six warehouses, broken down by product type (small goods, long goods, pallets, cables) — cutting a 15–20 minute manual check down to about a second.</w:t>
      </w:r>
    </w:p>
    <w:p>
      <w:pPr>
        <w:pStyle w:val="ListParagraph"/>
        <w:numPr>
          <w:ilvl w:val="0"/>
          <w:numId w:val="2"/>
        </w:numPr>
        <w:spacing w:after="90"/>
      </w:pPr>
      <w:r>
        <w:rPr>
          <w:sz w:val="20"/>
          <w:szCs w:val="20"/>
        </w:rPr>
        <w:t xml:space="preserve">Delivered AGV pallet automation — integrating Anronaut's Traffic Management System with EWM to manage the AGV fleet — and Kardex cable-goods handling at an earlier site, alongside ongoing nShift (Transportation Management System) upgrades and Fiori performance work.</w:t>
      </w:r>
    </w:p>
    <w:p>
      <w:pPr>
        <w:tabs>
          <w:tab w:val="right" w:pos="9360"/>
        </w:tabs>
        <w:spacing w:after="10" w:before="60"/>
      </w:pPr>
      <w:r>
        <w:rPr>
          <w:b/>
          <w:bCs/>
          <w:sz w:val="22"/>
          <w:szCs w:val="22"/>
        </w:rPr>
        <w:t xml:space="preserve">Specialist — Package Implementation</w:t>
      </w:r>
      <w:r>
        <w:rPr>
          <w:b/>
          <w:bCs/>
          <w:color w:val="449399"/>
          <w:sz w:val="22"/>
          <w:szCs w:val="22"/>
        </w:rPr>
        <w:t xml:space="preserve">  —  LTI (now LTM)</w:t>
      </w:r>
      <w:r>
        <w:ptab w:alignment="right" w:leader="none"/>
      </w:r>
      <w:r>
        <w:rPr>
          <w:i/>
          <w:iCs/>
          <w:color w:val="595959"/>
          <w:sz w:val="18"/>
          <w:szCs w:val="18"/>
        </w:rPr>
        <w:t xml:space="preserve">Jun 2015 – May 2023</w:t>
      </w:r>
    </w:p>
    <w:p>
      <w:pPr>
        <w:spacing w:after="70"/>
      </w:pPr>
      <w:r>
        <w:rPr>
          <w:i/>
          <w:iCs/>
          <w:color w:val="595959"/>
          <w:sz w:val="18"/>
          <w:szCs w:val="18"/>
        </w:rPr>
        <w:t xml:space="preserve">India &amp; Denmark  ·  Business Services (Sourcing &amp; Services, Consulting, Railway, Mining)</w:t>
      </w:r>
    </w:p>
    <w:p>
      <w:pPr>
        <w:pStyle w:val="ListParagraph"/>
        <w:numPr>
          <w:ilvl w:val="0"/>
          <w:numId w:val="2"/>
        </w:numPr>
        <w:spacing w:after="90"/>
      </w:pPr>
      <w:r>
        <w:rPr>
          <w:sz w:val="20"/>
          <w:szCs w:val="20"/>
        </w:rPr>
        <w:t xml:space="preserve">Built the Global Template for Nordic warehouse operations — 10 Fiori apps automating Goods Receipt, Picking, Day Closing and Returns across 90,000+ daily lines in six warehouses, with third-party robotics (Autostore, Unicontrol, Prevas) for automated picking and putaway.</w:t>
      </w:r>
    </w:p>
    <w:p>
      <w:pPr>
        <w:pStyle w:val="ListParagraph"/>
        <w:numPr>
          <w:ilvl w:val="0"/>
          <w:numId w:val="2"/>
        </w:numPr>
        <w:spacing w:after="90"/>
      </w:pPr>
      <w:r>
        <w:rPr>
          <w:sz w:val="20"/>
          <w:szCs w:val="20"/>
        </w:rPr>
        <w:t xml:space="preserve">Delivered S/4HANA solutions for LTI's own internal transformation — a complex undertaking given LTI's business spans widely varied client contracts and billing models — covering contract processing, timesheet billing, milestone billing, contract accruals and amendments, invoice splitting/merging, and revenue, tax and GST analysis; earned high appreciation from LTI's CIO and SAP Department Head for the solution. During cutover, an already-announced 8 AM go-live was put at risk around midnight when the open-transaction migration program hit a bulk-processing bottleneck — took ownership of the issue, traced it to a locking problem, and resolved it within an hour by restructuring the program's call approach, completing the cutover hours before the go-live.</w:t>
      </w:r>
    </w:p>
    <w:p>
      <w:pPr>
        <w:pStyle w:val="ListParagraph"/>
        <w:numPr>
          <w:ilvl w:val="0"/>
          <w:numId w:val="2"/>
        </w:numPr>
        <w:spacing w:after="90"/>
      </w:pPr>
      <w:r>
        <w:rPr>
          <w:sz w:val="20"/>
          <w:szCs w:val="20"/>
        </w:rPr>
        <w:t xml:space="preserve">Led a 4-person CRM team as a peer, all around a year into their careers, on a Railway client implementation — from solution design through user training. Earned a 10/10 client signoff, drawing internal appreciation from LTI's COO given how early-career the team was, and the solution was also praised in a SAP Audit review. Built a centralized case-communication feature — a single thread where different authorities could log updates on a case — that became the primary interaction channel for the client's Vigilance department.</w:t>
      </w:r>
    </w:p>
    <w:p>
      <w:pPr>
        <w:pStyle w:val="ListParagraph"/>
        <w:numPr>
          <w:ilvl w:val="0"/>
          <w:numId w:val="2"/>
        </w:numPr>
        <w:spacing w:after="90"/>
      </w:pPr>
      <w:r>
        <w:rPr>
          <w:sz w:val="20"/>
          <w:szCs w:val="20"/>
        </w:rPr>
        <w:t xml:space="preserve">Created a tailored Simple Order Entry Workbench — a single Fiori screen surfacing customer credit-limit and outstanding balance, order/delivery/billing history with goods-issue and accounting status, and ATP inventory checks, plus item recommendations based on order frequency, quantity, and recency.</w:t>
      </w:r>
    </w:p>
    <w:p>
      <w:pPr>
        <w:pStyle w:val="ListParagraph"/>
        <w:numPr>
          <w:ilvl w:val="0"/>
          <w:numId w:val="2"/>
        </w:numPr>
        <w:spacing w:after="90"/>
      </w:pPr>
      <w:r>
        <w:rPr>
          <w:sz w:val="20"/>
          <w:szCs w:val="20"/>
        </w:rPr>
        <w:t xml:space="preserve">Worked closely with a mentor on the solution design, then built from scratch a suite of mining-specific SAP GUI applications — Material Sampling, Bank Guarantee, and Supplementary Billing — critical to a successful go-live, along with cash-discount and complex rounding-off billing logic and custom SD/MM SMARTFORMS. Also contributed SOLMAN support on the side to the IRDA project, earning a Pat-on-the-Back award.</w:t>
      </w:r>
    </w:p>
    <w:p>
      <w:pPr>
        <w:pBdr>
          <w:bottom w:val="single" w:color="449399" w:sz="10" w:space="4"/>
        </w:pBdr>
        <w:spacing w:after="90" w:before="260"/>
      </w:pPr>
      <w:r>
        <w:rPr>
          <w:b/>
          <w:bCs/>
          <w:caps/>
          <w:color w:val="313C4E"/>
          <w:spacing w:val="6"/>
          <w:sz w:val="24"/>
          <w:szCs w:val="24"/>
        </w:rPr>
        <w:t xml:space="preserve">Skills</w:t>
      </w:r>
    </w:p>
    <w:p>
      <w:pPr>
        <w:spacing w:after="30" w:before="40"/>
      </w:pPr>
      <w:r>
        <w:rPr>
          <w:b/>
          <w:bCs/>
          <w:color w:val="449399"/>
          <w:sz w:val="17"/>
          <w:szCs w:val="17"/>
        </w:rPr>
        <w:t xml:space="preserve">SAP Modules</w:t>
      </w:r>
    </w:p>
    <w:p>
      <w:pPr>
        <w:spacing w:after="60"/>
      </w:pPr>
      <w:r>
        <w:rPr>
          <w:sz w:val="19"/>
          <w:szCs w:val="19"/>
        </w:rPr>
        <w:t xml:space="preserve">SAP EWM  ·  SAP SD  ·  SAP TM  ·  SAP CRM  ·  CPQ</w:t>
      </w:r>
    </w:p>
    <w:p>
      <w:pPr>
        <w:spacing w:after="30" w:before="40"/>
      </w:pPr>
      <w:r>
        <w:rPr>
          <w:b/>
          <w:bCs/>
          <w:color w:val="449399"/>
          <w:sz w:val="17"/>
          <w:szCs w:val="17"/>
        </w:rPr>
        <w:t xml:space="preserve">Technical &amp; Development</w:t>
      </w:r>
    </w:p>
    <w:p>
      <w:pPr>
        <w:spacing w:after="60"/>
      </w:pPr>
      <w:r>
        <w:rPr>
          <w:sz w:val="19"/>
          <w:szCs w:val="19"/>
        </w:rPr>
        <w:t xml:space="preserve">SAP ABAP  ·  OData  ·  SAP Fiori &amp; UI5  ·  SAP RAP  ·  ABAP Development Tools (ADT)  ·  SAP Business Application Studio (BAS)  ·  VS Code</w:t>
      </w:r>
    </w:p>
    <w:p>
      <w:pPr>
        <w:spacing w:after="30" w:before="40"/>
      </w:pPr>
      <w:r>
        <w:rPr>
          <w:b/>
          <w:bCs/>
          <w:color w:val="449399"/>
          <w:sz w:val="17"/>
          <w:szCs w:val="17"/>
        </w:rPr>
        <w:t xml:space="preserve">Warehouse &amp; Logistics</w:t>
      </w:r>
    </w:p>
    <w:p>
      <w:pPr>
        <w:spacing w:after="60"/>
      </w:pPr>
      <w:r>
        <w:rPr>
          <w:sz w:val="19"/>
          <w:szCs w:val="19"/>
        </w:rPr>
        <w:t xml:space="preserve">Warehouse Design  ·  Goods Movement  ·  Inbound &amp; Outbound Logistics  ·  Handling Units &amp; Packaging  ·  Replenishment  ·  Physical Inventory  ·  nShift (TMS)</w:t>
      </w:r>
    </w:p>
    <w:p>
      <w:pPr>
        <w:spacing w:after="30" w:before="40"/>
      </w:pPr>
      <w:r>
        <w:rPr>
          <w:b/>
          <w:bCs/>
          <w:color w:val="449399"/>
          <w:sz w:val="17"/>
          <w:szCs w:val="17"/>
        </w:rPr>
        <w:t xml:space="preserve">Order-to-Cash</w:t>
      </w:r>
    </w:p>
    <w:p>
      <w:pPr>
        <w:spacing w:after="60"/>
      </w:pPr>
      <w:r>
        <w:rPr>
          <w:sz w:val="19"/>
          <w:szCs w:val="19"/>
        </w:rPr>
        <w:t xml:space="preserve">Order-to-Cash (OTC)  ·  Pricing &amp; Billing  ·  Returns</w:t>
      </w:r>
    </w:p>
    <w:p>
      <w:pPr>
        <w:spacing w:after="30" w:before="40"/>
      </w:pPr>
      <w:r>
        <w:rPr>
          <w:b/>
          <w:bCs/>
          <w:color w:val="449399"/>
          <w:sz w:val="17"/>
          <w:szCs w:val="17"/>
        </w:rPr>
        <w:t xml:space="preserve">Cross-functional</w:t>
      </w:r>
    </w:p>
    <w:p>
      <w:pPr>
        <w:spacing w:after="60"/>
      </w:pPr>
      <w:r>
        <w:rPr>
          <w:sz w:val="19"/>
          <w:szCs w:val="19"/>
        </w:rPr>
        <w:t xml:space="preserve">Business Analysis  ·  SAP ERP Integration  ·  Leadership</w:t>
      </w:r>
    </w:p>
    <w:p>
      <w:pPr>
        <w:pBdr>
          <w:bottom w:val="single" w:color="449399" w:sz="10" w:space="4"/>
        </w:pBdr>
        <w:spacing w:after="90" w:before="260"/>
      </w:pPr>
      <w:r>
        <w:rPr>
          <w:b/>
          <w:bCs/>
          <w:caps/>
          <w:color w:val="313C4E"/>
          <w:spacing w:val="6"/>
          <w:sz w:val="24"/>
          <w:szCs w:val="24"/>
        </w:rPr>
        <w:t xml:space="preserve">Certifications</w:t>
      </w:r>
    </w:p>
    <w:p>
      <w:pPr>
        <w:spacing w:after="60"/>
      </w:pPr>
      <w:r>
        <w:rPr>
          <w:color w:val="595959"/>
          <w:sz w:val="17"/>
          <w:szCs w:val="17"/>
        </w:rPr>
        <w:t xml:space="preserve">All six completed in 10 days alongside a full-time role — recognized internally and featured on LTI's internal portal.</w:t>
      </w:r>
    </w:p>
    <w:p>
      <w:pPr>
        <w:pStyle w:val="ListParagraph"/>
        <w:numPr>
          <w:ilvl w:val="0"/>
          <w:numId w:val="2"/>
        </w:numPr>
        <w:spacing w:after="90"/>
      </w:pPr>
      <w:r>
        <w:rPr>
          <w:sz w:val="20"/>
          <w:szCs w:val="20"/>
        </w:rPr>
        <w:t xml:space="preserve">SAP Certified Application Associate — SAP S/4HANA Sales 1909</w:t>
      </w:r>
    </w:p>
    <w:p>
      <w:pPr>
        <w:pStyle w:val="ListParagraph"/>
        <w:numPr>
          <w:ilvl w:val="0"/>
          <w:numId w:val="2"/>
        </w:numPr>
        <w:spacing w:after="90"/>
      </w:pPr>
      <w:r>
        <w:rPr>
          <w:sz w:val="20"/>
          <w:szCs w:val="20"/>
        </w:rPr>
        <w:t xml:space="preserve">SAP Certified Application Associate — SAP S/4HANA Cloud, Sales Implementation 2021</w:t>
      </w:r>
    </w:p>
    <w:p>
      <w:pPr>
        <w:pStyle w:val="ListParagraph"/>
        <w:numPr>
          <w:ilvl w:val="0"/>
          <w:numId w:val="2"/>
        </w:numPr>
        <w:spacing w:after="90"/>
      </w:pPr>
      <w:r>
        <w:rPr>
          <w:sz w:val="20"/>
          <w:szCs w:val="20"/>
        </w:rPr>
        <w:t xml:space="preserve">SAP Certified Application Associate — SAP Extended Warehouse Management 9.5</w:t>
      </w:r>
    </w:p>
    <w:p>
      <w:pPr>
        <w:pStyle w:val="ListParagraph"/>
        <w:numPr>
          <w:ilvl w:val="0"/>
          <w:numId w:val="2"/>
        </w:numPr>
        <w:spacing w:after="90"/>
      </w:pPr>
      <w:r>
        <w:rPr>
          <w:sz w:val="20"/>
          <w:szCs w:val="20"/>
        </w:rPr>
        <w:t xml:space="preserve">SAP Certified Application Associate — SAP Transportation Management 9.5</w:t>
      </w:r>
    </w:p>
    <w:p>
      <w:pPr>
        <w:pStyle w:val="ListParagraph"/>
        <w:numPr>
          <w:ilvl w:val="0"/>
          <w:numId w:val="2"/>
        </w:numPr>
        <w:spacing w:after="90"/>
      </w:pPr>
      <w:r>
        <w:rPr>
          <w:sz w:val="20"/>
          <w:szCs w:val="20"/>
        </w:rPr>
        <w:t xml:space="preserve">SAP Certified Development Associate — SAP Fiori Application Developer</w:t>
      </w:r>
    </w:p>
    <w:p>
      <w:pPr>
        <w:pStyle w:val="ListParagraph"/>
        <w:numPr>
          <w:ilvl w:val="0"/>
          <w:numId w:val="2"/>
        </w:numPr>
        <w:spacing w:after="90"/>
      </w:pPr>
      <w:r>
        <w:rPr>
          <w:sz w:val="20"/>
          <w:szCs w:val="20"/>
        </w:rPr>
        <w:t xml:space="preserve">SAP Certified Development Specialist — ABAP for SAP HANA 2.0</w:t>
      </w:r>
    </w:p>
    <w:p>
      <w:pPr>
        <w:pBdr>
          <w:bottom w:val="single" w:color="449399" w:sz="10" w:space="4"/>
        </w:pBdr>
        <w:spacing w:after="90" w:before="260"/>
      </w:pPr>
      <w:r>
        <w:rPr>
          <w:b/>
          <w:bCs/>
          <w:caps/>
          <w:color w:val="313C4E"/>
          <w:spacing w:val="6"/>
          <w:sz w:val="24"/>
          <w:szCs w:val="24"/>
        </w:rPr>
        <w:t xml:space="preserve">Recognition</w:t>
      </w:r>
    </w:p>
    <w:p>
      <w:pPr>
        <w:spacing w:after="60"/>
      </w:pPr>
      <w:r>
        <w:rPr>
          <w:color w:val="595959"/>
          <w:sz w:val="17"/>
          <w:szCs w:val="17"/>
        </w:rPr>
        <w:t xml:space="preserve">LTI, 2015 – 2023. STAR Award — from what was generally understood at the time, typically given to senior department members; unusual for someone this early in their career.</w:t>
      </w:r>
    </w:p>
    <w:p>
      <w:pPr>
        <w:spacing w:after="60"/>
      </w:pPr>
      <w:r>
        <w:rPr>
          <w:sz w:val="19"/>
          <w:szCs w:val="19"/>
        </w:rPr>
        <w:t xml:space="preserve">STAR Award — Project MOIL  ·  PRIDE Award ×3  ·  POB Award  ·  Service Delivery Excellence (Team)</w:t>
      </w:r>
    </w:p>
    <w:p>
      <w:pPr>
        <w:pBdr>
          <w:bottom w:val="single" w:color="449399" w:sz="10" w:space="4"/>
        </w:pBdr>
        <w:spacing w:after="90" w:before="260"/>
      </w:pPr>
      <w:r>
        <w:rPr>
          <w:b/>
          <w:bCs/>
          <w:caps/>
          <w:color w:val="313C4E"/>
          <w:spacing w:val="6"/>
          <w:sz w:val="24"/>
          <w:szCs w:val="24"/>
        </w:rPr>
        <w:t xml:space="preserve">Continuous Learning</w:t>
      </w:r>
    </w:p>
    <w:p>
      <w:pPr>
        <w:spacing w:after="60"/>
      </w:pPr>
      <w:r>
        <w:rPr>
          <w:color w:val="595959"/>
          <w:sz w:val="17"/>
          <w:szCs w:val="17"/>
        </w:rPr>
        <w:t xml:space="preserve">openSAP course completions — Records of Achievement, not proctored certifications.</w:t>
      </w:r>
    </w:p>
    <w:p>
      <w:pPr>
        <w:spacing w:after="60"/>
      </w:pPr>
      <w:r>
        <w:rPr>
          <w:sz w:val="19"/>
          <w:szCs w:val="19"/>
        </w:rPr>
        <w:t xml:space="preserve">Exploring the SAP Business AI Portfolio  ·  Exploring SAP Cloud ERP  ·  Discovering Extended Warehouse Management with SAP S/4HANA  ·  Transform Your Business Processes with SAP Signavio and SAP Build  ·  Enterprise Goes Cloud 2  ·  Generative AI at SAP  ·  AI Ethics at SAP (Edition Q1/2024)</w:t>
      </w:r>
    </w:p>
    <w:p>
      <w:pPr>
        <w:pBdr>
          <w:bottom w:val="single" w:color="449399" w:sz="10" w:space="4"/>
        </w:pBdr>
        <w:spacing w:after="90" w:before="260"/>
      </w:pPr>
      <w:r>
        <w:rPr>
          <w:b/>
          <w:bCs/>
          <w:caps/>
          <w:color w:val="313C4E"/>
          <w:spacing w:val="6"/>
          <w:sz w:val="24"/>
          <w:szCs w:val="24"/>
        </w:rPr>
        <w:t xml:space="preserve">Education</w:t>
      </w:r>
    </w:p>
    <w:p>
      <w:pPr>
        <w:spacing w:after="10"/>
      </w:pPr>
      <w:r>
        <w:rPr>
          <w:b/>
          <w:bCs/>
          <w:sz w:val="20"/>
          <w:szCs w:val="20"/>
        </w:rPr>
        <w:t xml:space="preserve">Bachelor of Engineering — Electronics &amp; Communication</w:t>
      </w:r>
    </w:p>
    <w:p>
      <w:pPr>
        <w:spacing w:after="60"/>
      </w:pPr>
      <w:r>
        <w:rPr>
          <w:color w:val="595959"/>
          <w:sz w:val="19"/>
          <w:szCs w:val="19"/>
        </w:rPr>
        <w:t xml:space="preserve">MITS, Gwalior  ·  2011 – 2015  ·  First Class (Hons), CGPA 8.36</w:t>
      </w:r>
    </w:p>
    <w:p>
      <w:pPr>
        <w:pBdr>
          <w:bottom w:val="single" w:color="449399" w:sz="10" w:space="4"/>
        </w:pBdr>
        <w:spacing w:after="90" w:before="260"/>
      </w:pPr>
      <w:r>
        <w:rPr>
          <w:b/>
          <w:bCs/>
          <w:caps/>
          <w:color w:val="313C4E"/>
          <w:spacing w:val="6"/>
          <w:sz w:val="24"/>
          <w:szCs w:val="24"/>
        </w:rPr>
        <w:t xml:space="preserve">Languages</w:t>
      </w:r>
    </w:p>
    <w:p>
      <w:r>
        <w:rPr>
          <w:sz w:val="19"/>
          <w:szCs w:val="19"/>
        </w:rPr>
        <w:t xml:space="preserve">English — Full Professional Proficiency   ·   Hindi — Full Professional Proficiency   ·   Danish — Limited Working Proficiency</w:t>
      </w:r>
    </w:p>
    <w:sectPr>
      <w:pgSz w:w="11906" w:h="16838" w:orient="portrait"/>
      <w:pgMar w:top="560" w:right="700" w:bottom="5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d4bf41224523fd8aae1be61adf7d63648c7ba3.png"/><Relationship Id="rId8" Type="http://schemas.openxmlformats.org/officeDocument/2006/relationships/image" Target="media/cc3928203fbca7ea2293853685ad6a5d8db636ce.png"/><Relationship Id="rId9" Type="http://schemas.openxmlformats.org/officeDocument/2006/relationships/image" Target="media/a75b39d871f850b66ada10efe61a745df02f7363.png"/><Relationship Id="rId10" Type="http://schemas.openxmlformats.org/officeDocument/2006/relationships/image" Target="media/a81830884624b2714be1909d8860a8b696fb8609.png"/><Relationship Id="rId11" Type="http://schemas.openxmlformats.org/officeDocument/2006/relationships/image" Target="media/56c28ce3bbe95246c11f57c4ad63ccc1da82bc9c.png"/><Relationship Id="rId12" Type="http://schemas.openxmlformats.org/officeDocument/2006/relationships/image" Target="media/6a30509c93b460c36ed5984af23ba7318c5c92cc.png"/><Relationship Id="rId13" Type="http://schemas.openxmlformats.org/officeDocument/2006/relationships/fontTable" Target="fontTable.xml"/><Relationship Id="rId14" Type="http://schemas.openxmlformats.org/officeDocument/2006/relationships/hyperlink" Target="mailto:robinsinghrajawat@gmail.com" TargetMode="External"/><Relationship Id="rId15" Type="http://schemas.openxmlformats.org/officeDocument/2006/relationships/hyperlink" Target="https://www.linkedin.com/in/robinrajawat/" TargetMode="External"/><Relationship Id="rId16" Type="http://schemas.openxmlformats.org/officeDocument/2006/relationships/hyperlink" Target="https://robinrajawat.github.io/portfolio/"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2026-07-19T10:42:57.543Z</dcterms:created>
  <dcterms:modified xsi:type="dcterms:W3CDTF">2026-07-19T10:42:57.543Z</dcterms:modified>
</cp:coreProperties>
</file>

<file path=docProps/custom.xml><?xml version="1.0" encoding="utf-8"?>
<Properties xmlns="http://schemas.openxmlformats.org/officeDocument/2006/custom-properties" xmlns:vt="http://schemas.openxmlformats.org/officeDocument/2006/docPropsVTypes"/>
</file>