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E2761"/>
          <w:sz w:val="44"/>
          <w:szCs w:val="44"/>
        </w:rPr>
        <w:t xml:space="preserve">INTERNSHIP REPORT</w:t>
      </w:r>
    </w:p>
    <w:p>
      <w:pPr>
        <w:spacing w:after="100" w:before="200"/>
        <w:jc w:val="center"/>
      </w:pPr>
      <w:r>
        <w:rPr>
          <w:i/>
          <w:iCs/>
          <w:sz w:val="26"/>
          <w:szCs w:val="26"/>
        </w:rPr>
        <w:t xml:space="preserve">Cisco-AICTE Virtual Internship Program 2026</w:t>
      </w:r>
    </w:p>
    <w:p>
      <w:pPr>
        <w:spacing w:after="600"/>
        <w:jc w:val="center"/>
      </w:pPr>
      <w:r>
        <w:rPr>
          <w:b/>
          <w:bCs/>
          <w:color w:val="1E2761"/>
          <w:sz w:val="24"/>
          <w:szCs w:val="24"/>
        </w:rPr>
        <w:t xml:space="preserve">Project 2: Applied AI + Network Troubleshooting — "NetSage AI"</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shd w:fill="1E2761" w:val="clear"/>
            <w:tcMar>
              <w:top w:type="dxa" w:w="100"/>
              <w:left w:type="dxa" w:w="120"/>
              <w:bottom w:type="dxa" w:w="100"/>
              <w:right w:type="dxa" w:w="120"/>
            </w:tcMar>
          </w:tcPr>
          <w:p>
            <w:r>
              <w:rPr>
                <w:b/>
                <w:bCs/>
                <w:color w:val="FFFFFF"/>
                <w:sz w:val="20"/>
                <w:szCs w:val="20"/>
              </w:rPr>
              <w:t xml:space="preserve">Name</w:t>
            </w:r>
          </w:p>
        </w:tc>
        <w:tc>
          <w:tcPr>
            <w:tcW w:type="dxa" w:w="3800"/>
            <w:tcMar>
              <w:top w:type="dxa" w:w="100"/>
              <w:left w:type="dxa" w:w="120"/>
              <w:bottom w:type="dxa" w:w="100"/>
              <w:right w:type="dxa" w:w="120"/>
            </w:tcMar>
          </w:tcPr>
          <w:p>
            <w:r>
              <w:rPr>
                <w:sz w:val="20"/>
                <w:szCs w:val="20"/>
              </w:rPr>
              <w:t xml:space="preserve">Robin</w:t>
            </w:r>
          </w:p>
        </w:tc>
      </w:tr>
      <w:tr>
        <w:tc>
          <w:tcPr>
            <w:tcW w:type="dxa" w:w="2200"/>
            <w:shd w:fill="1E2761" w:val="clear"/>
            <w:tcMar>
              <w:top w:type="dxa" w:w="100"/>
              <w:left w:type="dxa" w:w="120"/>
              <w:bottom w:type="dxa" w:w="100"/>
              <w:right w:type="dxa" w:w="120"/>
            </w:tcMar>
          </w:tcPr>
          <w:p>
            <w:r>
              <w:rPr>
                <w:b/>
                <w:bCs/>
                <w:color w:val="FFFFFF"/>
                <w:sz w:val="20"/>
                <w:szCs w:val="20"/>
              </w:rPr>
              <w:t xml:space="preserve">Roll No.</w:t>
            </w:r>
          </w:p>
        </w:tc>
        <w:tc>
          <w:tcPr>
            <w:tcW w:type="dxa" w:w="3800"/>
            <w:tcMar>
              <w:top w:type="dxa" w:w="100"/>
              <w:left w:type="dxa" w:w="120"/>
              <w:bottom w:type="dxa" w:w="100"/>
              <w:right w:type="dxa" w:w="120"/>
            </w:tcMar>
          </w:tcPr>
          <w:p>
            <w:r>
              <w:rPr>
                <w:sz w:val="20"/>
                <w:szCs w:val="20"/>
              </w:rPr>
              <w:t xml:space="preserve">2410030613</w:t>
            </w:r>
          </w:p>
        </w:tc>
      </w:tr>
      <w:tr>
        <w:tc>
          <w:tcPr>
            <w:tcW w:type="dxa" w:w="2200"/>
            <w:shd w:fill="1E2761" w:val="clear"/>
            <w:tcMar>
              <w:top w:type="dxa" w:w="100"/>
              <w:left w:type="dxa" w:w="120"/>
              <w:bottom w:type="dxa" w:w="100"/>
              <w:right w:type="dxa" w:w="120"/>
            </w:tcMar>
          </w:tcPr>
          <w:p>
            <w:r>
              <w:rPr>
                <w:b/>
                <w:bCs/>
                <w:color w:val="FFFFFF"/>
                <w:sz w:val="20"/>
                <w:szCs w:val="20"/>
              </w:rPr>
              <w:t xml:space="preserve">Course</w:t>
            </w:r>
          </w:p>
        </w:tc>
        <w:tc>
          <w:tcPr>
            <w:tcW w:type="dxa" w:w="3800"/>
            <w:tcMar>
              <w:top w:type="dxa" w:w="100"/>
              <w:left w:type="dxa" w:w="120"/>
              <w:bottom w:type="dxa" w:w="100"/>
              <w:right w:type="dxa" w:w="120"/>
            </w:tcMar>
          </w:tcPr>
          <w:p>
            <w:r>
              <w:rPr>
                <w:sz w:val="20"/>
                <w:szCs w:val="20"/>
              </w:rPr>
              <w:t xml:space="preserve">B.Tech CSE</w:t>
            </w:r>
          </w:p>
        </w:tc>
      </w:tr>
      <w:tr>
        <w:tc>
          <w:tcPr>
            <w:tcW w:type="dxa" w:w="2200"/>
            <w:shd w:fill="1E2761" w:val="clear"/>
            <w:tcMar>
              <w:top w:type="dxa" w:w="100"/>
              <w:left w:type="dxa" w:w="120"/>
              <w:bottom w:type="dxa" w:w="100"/>
              <w:right w:type="dxa" w:w="120"/>
            </w:tcMar>
          </w:tcPr>
          <w:p>
            <w:r>
              <w:rPr>
                <w:b/>
                <w:bCs/>
                <w:color w:val="FFFFFF"/>
                <w:sz w:val="20"/>
                <w:szCs w:val="20"/>
              </w:rPr>
              <w:t xml:space="preserve">Section</w:t>
            </w:r>
          </w:p>
        </w:tc>
        <w:tc>
          <w:tcPr>
            <w:tcW w:type="dxa" w:w="3800"/>
            <w:tcMar>
              <w:top w:type="dxa" w:w="100"/>
              <w:left w:type="dxa" w:w="120"/>
              <w:bottom w:type="dxa" w:w="100"/>
              <w:right w:type="dxa" w:w="120"/>
            </w:tcMar>
          </w:tcPr>
          <w:p>
            <w:r>
              <w:rPr>
                <w:sz w:val="20"/>
                <w:szCs w:val="20"/>
              </w:rPr>
              <w:t xml:space="preserve">3CSE21</w:t>
            </w:r>
          </w:p>
        </w:tc>
      </w:tr>
      <w:tr>
        <w:tc>
          <w:tcPr>
            <w:tcW w:type="dxa" w:w="2200"/>
            <w:shd w:fill="1E2761" w:val="clear"/>
            <w:tcMar>
              <w:top w:type="dxa" w:w="100"/>
              <w:left w:type="dxa" w:w="120"/>
              <w:bottom w:type="dxa" w:w="100"/>
              <w:right w:type="dxa" w:w="120"/>
            </w:tcMar>
          </w:tcPr>
          <w:p>
            <w:r>
              <w:rPr>
                <w:b/>
                <w:bCs/>
                <w:color w:val="FFFFFF"/>
                <w:sz w:val="20"/>
                <w:szCs w:val="20"/>
              </w:rPr>
              <w:t xml:space="preserve">Semester</w:t>
            </w:r>
          </w:p>
        </w:tc>
        <w:tc>
          <w:tcPr>
            <w:tcW w:type="dxa" w:w="3800"/>
            <w:tcMar>
              <w:top w:type="dxa" w:w="100"/>
              <w:left w:type="dxa" w:w="120"/>
              <w:bottom w:type="dxa" w:w="100"/>
              <w:right w:type="dxa" w:w="120"/>
            </w:tcMar>
          </w:tcPr>
          <w:p>
            <w:r>
              <w:rPr>
                <w:sz w:val="20"/>
                <w:szCs w:val="20"/>
              </w:rPr>
              <w:t xml:space="preserve">5th Semester</w:t>
            </w:r>
          </w:p>
        </w:tc>
      </w:tr>
      <w:tr>
        <w:tc>
          <w:tcPr>
            <w:tcW w:type="dxa" w:w="2200"/>
            <w:shd w:fill="1E2761" w:val="clear"/>
            <w:tcMar>
              <w:top w:type="dxa" w:w="100"/>
              <w:left w:type="dxa" w:w="120"/>
              <w:bottom w:type="dxa" w:w="100"/>
              <w:right w:type="dxa" w:w="120"/>
            </w:tcMar>
          </w:tcPr>
          <w:p>
            <w:r>
              <w:rPr>
                <w:b/>
                <w:bCs/>
                <w:color w:val="FFFFFF"/>
                <w:sz w:val="20"/>
                <w:szCs w:val="20"/>
              </w:rPr>
              <w:t xml:space="preserve">Session</w:t>
            </w:r>
          </w:p>
        </w:tc>
        <w:tc>
          <w:tcPr>
            <w:tcW w:type="dxa" w:w="3800"/>
            <w:tcMar>
              <w:top w:type="dxa" w:w="100"/>
              <w:left w:type="dxa" w:w="120"/>
              <w:bottom w:type="dxa" w:w="100"/>
              <w:right w:type="dxa" w:w="120"/>
            </w:tcMar>
          </w:tcPr>
          <w:p>
            <w:r>
              <w:rPr>
                <w:sz w:val="20"/>
                <w:szCs w:val="20"/>
              </w:rPr>
              <w:t xml:space="preserve">2024–28</w:t>
            </w:r>
          </w:p>
        </w:tc>
      </w:tr>
      <w:tr>
        <w:tc>
          <w:tcPr>
            <w:tcW w:type="dxa" w:w="2200"/>
            <w:shd w:fill="1E2761" w:val="clear"/>
            <w:tcMar>
              <w:top w:type="dxa" w:w="100"/>
              <w:left w:type="dxa" w:w="120"/>
              <w:bottom w:type="dxa" w:w="100"/>
              <w:right w:type="dxa" w:w="120"/>
            </w:tcMar>
          </w:tcPr>
          <w:p>
            <w:r>
              <w:rPr>
                <w:b/>
                <w:bCs/>
                <w:color w:val="FFFFFF"/>
                <w:sz w:val="20"/>
                <w:szCs w:val="20"/>
              </w:rPr>
              <w:t xml:space="preserve">College</w:t>
            </w:r>
          </w:p>
        </w:tc>
        <w:tc>
          <w:tcPr>
            <w:tcW w:type="dxa" w:w="3800"/>
            <w:tcMar>
              <w:top w:type="dxa" w:w="100"/>
              <w:left w:type="dxa" w:w="120"/>
              <w:bottom w:type="dxa" w:w="100"/>
              <w:right w:type="dxa" w:w="120"/>
            </w:tcMar>
          </w:tcPr>
          <w:p>
            <w:r>
              <w:rPr>
                <w:sz w:val="20"/>
                <w:szCs w:val="20"/>
              </w:rPr>
              <w:t xml:space="preserve">IILM University</w:t>
            </w:r>
          </w:p>
        </w:tc>
      </w:tr>
      <w:tr>
        <w:tc>
          <w:tcPr>
            <w:tcW w:type="dxa" w:w="2200"/>
            <w:shd w:fill="1E2761" w:val="clear"/>
            <w:tcMar>
              <w:top w:type="dxa" w:w="100"/>
              <w:left w:type="dxa" w:w="120"/>
              <w:bottom w:type="dxa" w:w="100"/>
              <w:right w:type="dxa" w:w="120"/>
            </w:tcMar>
          </w:tcPr>
          <w:p>
            <w:r>
              <w:rPr>
                <w:b/>
                <w:bCs/>
                <w:color w:val="FFFFFF"/>
                <w:sz w:val="20"/>
                <w:szCs w:val="20"/>
              </w:rPr>
              <w:t xml:space="preserve">Internship Provider</w:t>
            </w:r>
          </w:p>
        </w:tc>
        <w:tc>
          <w:tcPr>
            <w:tcW w:type="dxa" w:w="3800"/>
            <w:tcMar>
              <w:top w:type="dxa" w:w="100"/>
              <w:left w:type="dxa" w:w="120"/>
              <w:bottom w:type="dxa" w:w="100"/>
              <w:right w:type="dxa" w:w="120"/>
            </w:tcMar>
          </w:tcPr>
          <w:p>
            <w:r>
              <w:rPr>
                <w:sz w:val="20"/>
                <w:szCs w:val="20"/>
              </w:rPr>
              <w:t xml:space="preserve">Cisco Networking Academy (AICTE Virtual Internship)</w:t>
            </w:r>
          </w:p>
        </w:tc>
      </w:tr>
    </w:tbl>
    <w:p>
      <w:r>
        <w:br w:type="page"/>
      </w:r>
    </w:p>
    <w:p>
      <w:pPr>
        <w:pStyle w:val="Heading1"/>
        <w:spacing w:after="150" w:before="300"/>
      </w:pPr>
      <w:r>
        <w:t xml:space="preserve">1. Introduction to the Internship Program</w:t>
      </w:r>
    </w:p>
    <w:p>
      <w:pPr>
        <w:spacing w:after="150"/>
      </w:pPr>
      <w:r>
        <w:rPr>
          <w:sz w:val="22"/>
          <w:szCs w:val="22"/>
        </w:rPr>
        <w:t xml:space="preserve">The Cisco-AICTE Virtual Internship Program is a structured internship offered in partnership with AICTE to give engineering students hands-on exposure to networking and emerging technology domains through Cisco's curriculum and tools such as Packet Tracer. As part of this program, students are grouped into project teams (or work individually) and assigned an industry-style problem statement drawn from real network engineering and applied-AI challenges.</w:t>
      </w:r>
    </w:p>
    <w:p>
      <w:pPr>
        <w:spacing w:after="150"/>
      </w:pPr>
      <w:r>
        <w:rPr>
          <w:sz w:val="22"/>
          <w:szCs w:val="22"/>
        </w:rPr>
        <w:t xml:space="preserve">This report documents my individual work on Project 2: Applied AI + Network Troubleshooting, under the project title "NetSage AI." The project required combining core networking concepts (VLANs, routing, DHCP, DNS, ACLs, NAT, and wireless) with an applied AI workflow, while enforcing a strict human-in-the-loop review process before any diagnosis was treated as final.</w:t>
      </w:r>
    </w:p>
    <w:p>
      <w:pPr>
        <w:pStyle w:val="Heading1"/>
        <w:spacing w:after="150" w:before="300"/>
      </w:pPr>
      <w:r>
        <w:t xml:space="preserve">2. Problem Statement</w:t>
      </w:r>
    </w:p>
    <w:p>
      <w:pPr>
        <w:spacing w:after="150"/>
      </w:pPr>
      <w:r>
        <w:rPr>
          <w:sz w:val="22"/>
          <w:szCs w:val="22"/>
        </w:rPr>
        <w:t xml:space="preserve">Junior network engineers often know individual show commands but struggle to connect a symptom to its true root cause. For example, when a PC obtains an IP address but cannot reach a server, the fault could lie in VLAN configuration, routing, DHCP, DNS, ACLs, or NAT — and distinguishing between these requires structured reasoning across multiple layers of the OSI model.</w:t>
      </w:r>
    </w:p>
    <w:p>
      <w:pPr>
        <w:spacing w:after="150"/>
      </w:pPr>
      <w:r>
        <w:rPr>
          <w:sz w:val="22"/>
          <w:szCs w:val="22"/>
        </w:rPr>
        <w:t xml:space="preserve">The task was to build an AI-assisted troubleshooting helper for Cisco-style lab networks that reads a reported symptom together with topology notes and show-command output, and returns a likely fault, the relevant OSI layer, the next diagnostic command to run, and an evidence-backed fix — with the explicit safety rule that a human reviewer must approve or correct every AI-generated diagnosis before it is considered final.</w:t>
      </w:r>
    </w:p>
    <w:p>
      <w:pPr>
        <w:pStyle w:val="Heading1"/>
        <w:spacing w:after="150" w:before="300"/>
      </w:pPr>
      <w:r>
        <w:t xml:space="preserve">3. Objectives</w:t>
      </w:r>
    </w:p>
    <w:p>
      <w:pPr>
        <w:pStyle w:val="ListParagraph"/>
        <w:numPr>
          <w:ilvl w:val="0"/>
          <w:numId w:val="1"/>
        </w:numPr>
        <w:spacing w:after="80"/>
      </w:pPr>
      <w:r>
        <w:rPr>
          <w:sz w:val="22"/>
          <w:szCs w:val="22"/>
        </w:rPr>
        <w:t xml:space="preserve">Build a dataset of realistic troubleshooting cases spanning the major categories of Cisco lab faults.</w:t>
      </w:r>
    </w:p>
    <w:p>
      <w:pPr>
        <w:pStyle w:val="ListParagraph"/>
        <w:numPr>
          <w:ilvl w:val="0"/>
          <w:numId w:val="1"/>
        </w:numPr>
        <w:spacing w:after="80"/>
      </w:pPr>
      <w:r>
        <w:rPr>
          <w:sz w:val="22"/>
          <w:szCs w:val="22"/>
        </w:rPr>
        <w:t xml:space="preserve">Design a structured AI prompt that forces evidence-grounded, machine-readable diagnostic output.</w:t>
      </w:r>
    </w:p>
    <w:p>
      <w:pPr>
        <w:pStyle w:val="ListParagraph"/>
        <w:numPr>
          <w:ilvl w:val="0"/>
          <w:numId w:val="1"/>
        </w:numPr>
        <w:spacing w:after="80"/>
      </w:pPr>
      <w:r>
        <w:rPr>
          <w:sz w:val="22"/>
          <w:szCs w:val="22"/>
        </w:rPr>
        <w:t xml:space="preserve">Implement a deterministic, non-AI rule checker as a second line of defense against common configuration mistakes.</w:t>
      </w:r>
    </w:p>
    <w:p>
      <w:pPr>
        <w:pStyle w:val="ListParagraph"/>
        <w:numPr>
          <w:ilvl w:val="0"/>
          <w:numId w:val="1"/>
        </w:numPr>
        <w:spacing w:after="80"/>
      </w:pPr>
      <w:r>
        <w:rPr>
          <w:sz w:val="22"/>
          <w:szCs w:val="22"/>
        </w:rPr>
        <w:t xml:space="preserve">Enforce mandatory human review of every AI diagnosis, logging where and why corrections were needed.</w:t>
      </w:r>
    </w:p>
    <w:p>
      <w:pPr>
        <w:pStyle w:val="ListParagraph"/>
        <w:numPr>
          <w:ilvl w:val="0"/>
          <w:numId w:val="1"/>
        </w:numPr>
        <w:spacing w:after="80"/>
      </w:pPr>
      <w:r>
        <w:rPr>
          <w:sz w:val="22"/>
          <w:szCs w:val="22"/>
        </w:rPr>
        <w:t xml:space="preserve">Summarize outcomes in a dashboard that tracks issue types, severity, and AI-human agreement.</w:t>
      </w:r>
    </w:p>
    <w:p>
      <w:pPr>
        <w:pStyle w:val="Heading1"/>
        <w:spacing w:after="150" w:before="300"/>
      </w:pPr>
      <w:r>
        <w:t xml:space="preserve">4. Tools and Technologies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1E2761" w:val="clear"/>
            <w:tcMar>
              <w:top w:type="dxa" w:w="100"/>
              <w:left w:type="dxa" w:w="120"/>
              <w:bottom w:type="dxa" w:w="100"/>
              <w:right w:type="dxa" w:w="120"/>
            </w:tcMar>
          </w:tcPr>
          <w:p>
            <w:r>
              <w:rPr>
                <w:b/>
                <w:bCs/>
                <w:color w:val="FFFFFF"/>
                <w:sz w:val="20"/>
                <w:szCs w:val="20"/>
              </w:rPr>
              <w:t xml:space="preserve">Tool / Technology</w:t>
            </w:r>
          </w:p>
        </w:tc>
        <w:tc>
          <w:tcPr>
            <w:tcW w:type="dxa" w:w="6350"/>
            <w:shd w:fill="1E2761" w:val="clear"/>
            <w:tcMar>
              <w:top w:type="dxa" w:w="100"/>
              <w:left w:type="dxa" w:w="120"/>
              <w:bottom w:type="dxa" w:w="100"/>
              <w:right w:type="dxa" w:w="120"/>
            </w:tcMar>
          </w:tcPr>
          <w:p>
            <w:r>
              <w:rPr>
                <w:b/>
                <w:bCs/>
                <w:color w:val="FFFFFF"/>
                <w:sz w:val="20"/>
                <w:szCs w:val="20"/>
              </w:rPr>
              <w:t xml:space="preserve">Purpose</w:t>
            </w:r>
          </w:p>
        </w:tc>
      </w:tr>
      <w:tr>
        <w:tc>
          <w:tcPr>
            <w:tcW w:type="dxa" w:w="3000"/>
            <w:tcMar>
              <w:top w:type="dxa" w:w="100"/>
              <w:left w:type="dxa" w:w="120"/>
              <w:bottom w:type="dxa" w:w="100"/>
              <w:right w:type="dxa" w:w="120"/>
            </w:tcMar>
          </w:tcPr>
          <w:p>
            <w:r>
              <w:rPr>
                <w:sz w:val="20"/>
                <w:szCs w:val="20"/>
              </w:rPr>
              <w:t xml:space="preserve">Cisco Packet Tracer</w:t>
            </w:r>
          </w:p>
        </w:tc>
        <w:tc>
          <w:tcPr>
            <w:tcW w:type="dxa" w:w="6350"/>
            <w:tcMar>
              <w:top w:type="dxa" w:w="100"/>
              <w:left w:type="dxa" w:w="120"/>
              <w:bottom w:type="dxa" w:w="100"/>
              <w:right w:type="dxa" w:w="120"/>
            </w:tcMar>
          </w:tcPr>
          <w:p>
            <w:r>
              <w:rPr>
                <w:sz w:val="20"/>
                <w:szCs w:val="20"/>
              </w:rPr>
              <w:t xml:space="preserve">Building and simulating the lab network topology and injecting realistic faults</w:t>
            </w:r>
          </w:p>
        </w:tc>
      </w:tr>
      <w:tr>
        <w:tc>
          <w:tcPr>
            <w:tcW w:type="dxa" w:w="3000"/>
            <w:tcMar>
              <w:top w:type="dxa" w:w="100"/>
              <w:left w:type="dxa" w:w="120"/>
              <w:bottom w:type="dxa" w:w="100"/>
              <w:right w:type="dxa" w:w="120"/>
            </w:tcMar>
          </w:tcPr>
          <w:p>
            <w:r>
              <w:rPr>
                <w:sz w:val="20"/>
                <w:szCs w:val="20"/>
              </w:rPr>
              <w:t xml:space="preserve">Python</w:t>
            </w:r>
          </w:p>
        </w:tc>
        <w:tc>
          <w:tcPr>
            <w:tcW w:type="dxa" w:w="6350"/>
            <w:tcMar>
              <w:top w:type="dxa" w:w="100"/>
              <w:left w:type="dxa" w:w="120"/>
              <w:bottom w:type="dxa" w:w="100"/>
              <w:right w:type="dxa" w:w="120"/>
            </w:tcMar>
          </w:tcPr>
          <w:p>
            <w:r>
              <w:rPr>
                <w:sz w:val="20"/>
                <w:szCs w:val="20"/>
              </w:rPr>
              <w:t xml:space="preserve">Writing the deterministic rule-checker script and data-processing utilities</w:t>
            </w:r>
          </w:p>
        </w:tc>
      </w:tr>
      <w:tr>
        <w:tc>
          <w:tcPr>
            <w:tcW w:type="dxa" w:w="3000"/>
            <w:tcMar>
              <w:top w:type="dxa" w:w="100"/>
              <w:left w:type="dxa" w:w="120"/>
              <w:bottom w:type="dxa" w:w="100"/>
              <w:right w:type="dxa" w:w="120"/>
            </w:tcMar>
          </w:tcPr>
          <w:p>
            <w:r>
              <w:rPr>
                <w:sz w:val="20"/>
                <w:szCs w:val="20"/>
              </w:rPr>
              <w:t xml:space="preserve">Large Language Model (AI prompt)</w:t>
            </w:r>
          </w:p>
        </w:tc>
        <w:tc>
          <w:tcPr>
            <w:tcW w:type="dxa" w:w="6350"/>
            <w:tcMar>
              <w:top w:type="dxa" w:w="100"/>
              <w:left w:type="dxa" w:w="120"/>
              <w:bottom w:type="dxa" w:w="100"/>
              <w:right w:type="dxa" w:w="120"/>
            </w:tcMar>
          </w:tcPr>
          <w:p>
            <w:r>
              <w:rPr>
                <w:sz w:val="20"/>
                <w:szCs w:val="20"/>
              </w:rPr>
              <w:t xml:space="preserve">Generating structured JSON diagnoses from symptoms and show-command evidence</w:t>
            </w:r>
          </w:p>
        </w:tc>
      </w:tr>
      <w:tr>
        <w:tc>
          <w:tcPr>
            <w:tcW w:type="dxa" w:w="3000"/>
            <w:tcMar>
              <w:top w:type="dxa" w:w="100"/>
              <w:left w:type="dxa" w:w="120"/>
              <w:bottom w:type="dxa" w:w="100"/>
              <w:right w:type="dxa" w:w="120"/>
            </w:tcMar>
          </w:tcPr>
          <w:p>
            <w:r>
              <w:rPr>
                <w:sz w:val="20"/>
                <w:szCs w:val="20"/>
              </w:rPr>
              <w:t xml:space="preserve">Microsoft Excel</w:t>
            </w:r>
          </w:p>
        </w:tc>
        <w:tc>
          <w:tcPr>
            <w:tcW w:type="dxa" w:w="6350"/>
            <w:tcMar>
              <w:top w:type="dxa" w:w="100"/>
              <w:left w:type="dxa" w:w="120"/>
              <w:bottom w:type="dxa" w:w="100"/>
              <w:right w:type="dxa" w:w="120"/>
            </w:tcMar>
          </w:tcPr>
          <w:p>
            <w:r>
              <w:rPr>
                <w:sz w:val="20"/>
                <w:szCs w:val="20"/>
              </w:rPr>
              <w:t xml:space="preserve">Dashboard with case summaries, severity breakdown, and agreement-rate charts</w:t>
            </w:r>
          </w:p>
        </w:tc>
      </w:tr>
      <w:tr>
        <w:tc>
          <w:tcPr>
            <w:tcW w:type="dxa" w:w="3000"/>
            <w:tcMar>
              <w:top w:type="dxa" w:w="100"/>
              <w:left w:type="dxa" w:w="120"/>
              <w:bottom w:type="dxa" w:w="100"/>
              <w:right w:type="dxa" w:w="120"/>
            </w:tcMar>
          </w:tcPr>
          <w:p>
            <w:r>
              <w:rPr>
                <w:sz w:val="20"/>
                <w:szCs w:val="20"/>
              </w:rPr>
              <w:t xml:space="preserve">CSV / Markdown</w:t>
            </w:r>
          </w:p>
        </w:tc>
        <w:tc>
          <w:tcPr>
            <w:tcW w:type="dxa" w:w="6350"/>
            <w:tcMar>
              <w:top w:type="dxa" w:w="100"/>
              <w:left w:type="dxa" w:w="120"/>
              <w:bottom w:type="dxa" w:w="100"/>
              <w:right w:type="dxa" w:w="120"/>
            </w:tcMar>
          </w:tcPr>
          <w:p>
            <w:r>
              <w:rPr>
                <w:sz w:val="20"/>
                <w:szCs w:val="20"/>
              </w:rPr>
              <w:t xml:space="preserve">Structured storage for the case dataset, prompt library, and review logs</w:t>
            </w:r>
          </w:p>
        </w:tc>
      </w:tr>
    </w:tbl>
    <w:p>
      <w:r>
        <w:br w:type="page"/>
      </w:r>
    </w:p>
    <w:p>
      <w:pPr>
        <w:pStyle w:val="Heading1"/>
        <w:spacing w:after="150" w:before="300"/>
      </w:pPr>
      <w:r>
        <w:t xml:space="preserve">5. Methodology</w:t>
      </w:r>
    </w:p>
    <w:p>
      <w:pPr>
        <w:pStyle w:val="Heading2"/>
        <w:spacing w:after="100" w:before="200"/>
      </w:pPr>
      <w:r>
        <w:t xml:space="preserve">5.1 Case Dataset</w:t>
      </w:r>
    </w:p>
    <w:p>
      <w:pPr>
        <w:spacing w:after="150"/>
      </w:pPr>
      <w:r>
        <w:rPr>
          <w:sz w:val="22"/>
          <w:szCs w:val="22"/>
        </w:rPr>
        <w:t xml:space="preserve">I built a dataset of 30 troubleshooting cases covering VLAN, Gateway, DHCP, DNS, Routing, ACL, NAT, and Wireless faults. Each case records a symptom, a topology note, realistic show-command output, the expected fault, the relevant OSI layer, a concept tag, and a severity rating. This dataset forms the ground truth against which both the AI's diagnosis and the deterministic checker were evaluated.</w:t>
      </w:r>
    </w:p>
    <w:p>
      <w:pPr>
        <w:pStyle w:val="Heading2"/>
        <w:spacing w:after="100" w:before="200"/>
      </w:pPr>
      <w:r>
        <w:t xml:space="preserve">5.2 AI Prompt Library</w:t>
      </w:r>
    </w:p>
    <w:p>
      <w:pPr>
        <w:spacing w:after="150"/>
      </w:pPr>
      <w:r>
        <w:rPr>
          <w:sz w:val="22"/>
          <w:szCs w:val="22"/>
        </w:rPr>
        <w:t xml:space="preserve">I designed a structured prompt (diagnose_prompt.md) that instructs the AI to reason strictly from the evidence provided, cite the specific line of show-command output supporting its conclusion, and return a fixed JSON schema: root_cause, osi_layer, confidence, evidence, next_command, and fix_steps. Three worked examples were included directly in the prompt to anchor the expected reasoning style, including one example demonstrating a low-confidence, evidence-insufficient case.</w:t>
      </w:r>
    </w:p>
    <w:p>
      <w:pPr>
        <w:pStyle w:val="Heading2"/>
        <w:spacing w:after="100" w:before="200"/>
      </w:pPr>
      <w:r>
        <w:t xml:space="preserve">5.3 Deterministic Rule Checker</w:t>
      </w:r>
    </w:p>
    <w:p>
      <w:pPr>
        <w:spacing w:after="150"/>
      </w:pPr>
      <w:r>
        <w:rPr>
          <w:sz w:val="22"/>
          <w:szCs w:val="22"/>
        </w:rPr>
        <w:t xml:space="preserve">Independent of the AI, I wrote a Python script (rule_checker.py) with nine pattern-based checks covering duplicate IPs, wrong subnet/wildcard masks, gateway mismatches, administratively down interfaces, inactive VLANs, missing routes, overly broad ACL rules, unapplied ACLs, and unmarked NAT interfaces. Run against all 30 cases, this deterministic layer independently flagged 11 of 30 cases (37%), providing a non-AI safety net that does not depend on language-model reasoning.</w:t>
      </w:r>
    </w:p>
    <w:p>
      <w:pPr>
        <w:pStyle w:val="Heading2"/>
        <w:spacing w:after="100" w:before="200"/>
      </w:pPr>
      <w:r>
        <w:t xml:space="preserve">5.4 Human Review Workflow</w:t>
      </w:r>
    </w:p>
    <w:p>
      <w:pPr>
        <w:spacing w:after="150"/>
      </w:pPr>
      <w:r>
        <w:rPr>
          <w:sz w:val="22"/>
          <w:szCs w:val="22"/>
        </w:rPr>
        <w:t xml:space="preserve">Every one of the 30 AI-generated diagnoses was reviewed personally against the case's expected fault and evidence. Each case was marked Accepted, Edited, or Rejected, with a written reviewer note explaining the verdict. This mirrors the project's mandatory safety rule that no AI diagnosis is applied to a network without human sign-off.</w:t>
      </w:r>
    </w:p>
    <w:p>
      <w:pPr>
        <w:pStyle w:val="Heading2"/>
        <w:spacing w:after="100" w:before="200"/>
      </w:pPr>
      <w:r>
        <w:t xml:space="preserve">5.5 Dashboard and Reporting</w:t>
      </w:r>
    </w:p>
    <w:p>
      <w:pPr>
        <w:spacing w:after="150"/>
      </w:pPr>
      <w:r>
        <w:rPr>
          <w:sz w:val="22"/>
          <w:szCs w:val="22"/>
        </w:rPr>
        <w:t xml:space="preserve">Results were consolidated into a dashboard (dashboard.xlsx) summarizing case counts by category and severity, and the overall AI-human agreement rate, supported by bar and pie charts for quick visual review.</w:t>
      </w:r>
    </w:p>
    <w:p>
      <w:pPr>
        <w:pStyle w:val="Heading1"/>
        <w:spacing w:after="150" w:before="300"/>
      </w:pPr>
      <w:r>
        <w:t xml:space="preserve">6.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c>
          <w:tcPr>
            <w:tcW w:type="dxa" w:w="5350"/>
            <w:shd w:fill="1E2761" w:val="clear"/>
            <w:tcMar>
              <w:top w:type="dxa" w:w="100"/>
              <w:left w:type="dxa" w:w="120"/>
              <w:bottom w:type="dxa" w:w="100"/>
              <w:right w:type="dxa" w:w="120"/>
            </w:tcMar>
          </w:tcPr>
          <w:p>
            <w:r>
              <w:rPr>
                <w:b/>
                <w:bCs/>
                <w:color w:val="FFFFFF"/>
                <w:sz w:val="20"/>
                <w:szCs w:val="20"/>
              </w:rPr>
              <w:t xml:space="preserve">Metric</w:t>
            </w:r>
          </w:p>
        </w:tc>
        <w:tc>
          <w:tcPr>
            <w:tcW w:type="dxa" w:w="4000"/>
            <w:shd w:fill="1E2761" w:val="clear"/>
            <w:tcMar>
              <w:top w:type="dxa" w:w="100"/>
              <w:left w:type="dxa" w:w="120"/>
              <w:bottom w:type="dxa" w:w="100"/>
              <w:right w:type="dxa" w:w="120"/>
            </w:tcMar>
          </w:tcPr>
          <w:p>
            <w:r>
              <w:rPr>
                <w:b/>
                <w:bCs/>
                <w:color w:val="FFFFFF"/>
                <w:sz w:val="20"/>
                <w:szCs w:val="20"/>
              </w:rPr>
              <w:t xml:space="preserve">Value</w:t>
            </w:r>
          </w:p>
        </w:tc>
      </w:tr>
      <w:tr>
        <w:tc>
          <w:tcPr>
            <w:tcW w:type="dxa" w:w="5350"/>
            <w:tcMar>
              <w:top w:type="dxa" w:w="100"/>
              <w:left w:type="dxa" w:w="120"/>
              <w:bottom w:type="dxa" w:w="100"/>
              <w:right w:type="dxa" w:w="120"/>
            </w:tcMar>
          </w:tcPr>
          <w:p>
            <w:r>
              <w:rPr>
                <w:sz w:val="20"/>
                <w:szCs w:val="20"/>
              </w:rPr>
              <w:t xml:space="preserve">Total cases evaluated</w:t>
            </w:r>
          </w:p>
        </w:tc>
        <w:tc>
          <w:tcPr>
            <w:tcW w:type="dxa" w:w="4000"/>
            <w:tcMar>
              <w:top w:type="dxa" w:w="100"/>
              <w:left w:type="dxa" w:w="120"/>
              <w:bottom w:type="dxa" w:w="100"/>
              <w:right w:type="dxa" w:w="120"/>
            </w:tcMar>
          </w:tcPr>
          <w:p>
            <w:r>
              <w:rPr>
                <w:sz w:val="20"/>
                <w:szCs w:val="20"/>
              </w:rPr>
              <w:t xml:space="preserve">30</w:t>
            </w:r>
          </w:p>
        </w:tc>
      </w:tr>
      <w:tr>
        <w:tc>
          <w:tcPr>
            <w:tcW w:type="dxa" w:w="5350"/>
            <w:tcMar>
              <w:top w:type="dxa" w:w="100"/>
              <w:left w:type="dxa" w:w="120"/>
              <w:bottom w:type="dxa" w:w="100"/>
              <w:right w:type="dxa" w:w="120"/>
            </w:tcMar>
          </w:tcPr>
          <w:p>
            <w:r>
              <w:rPr>
                <w:sz w:val="20"/>
                <w:szCs w:val="20"/>
              </w:rPr>
              <w:t xml:space="preserve">Fault categories covered</w:t>
            </w:r>
          </w:p>
        </w:tc>
        <w:tc>
          <w:tcPr>
            <w:tcW w:type="dxa" w:w="4000"/>
            <w:tcMar>
              <w:top w:type="dxa" w:w="100"/>
              <w:left w:type="dxa" w:w="120"/>
              <w:bottom w:type="dxa" w:w="100"/>
              <w:right w:type="dxa" w:w="120"/>
            </w:tcMar>
          </w:tcPr>
          <w:p>
            <w:r>
              <w:rPr>
                <w:sz w:val="20"/>
                <w:szCs w:val="20"/>
              </w:rPr>
              <w:t xml:space="preserve">8 (VLAN, Gateway, DHCP, DNS, Routing, ACL, NAT, Wireless)</w:t>
            </w:r>
          </w:p>
        </w:tc>
      </w:tr>
      <w:tr>
        <w:tc>
          <w:tcPr>
            <w:tcW w:type="dxa" w:w="5350"/>
            <w:tcMar>
              <w:top w:type="dxa" w:w="100"/>
              <w:left w:type="dxa" w:w="120"/>
              <w:bottom w:type="dxa" w:w="100"/>
              <w:right w:type="dxa" w:w="120"/>
            </w:tcMar>
          </w:tcPr>
          <w:p>
            <w:r>
              <w:rPr>
                <w:sz w:val="20"/>
                <w:szCs w:val="20"/>
              </w:rPr>
              <w:t xml:space="preserve">AI diagnoses Accepted as-is</w:t>
            </w:r>
          </w:p>
        </w:tc>
        <w:tc>
          <w:tcPr>
            <w:tcW w:type="dxa" w:w="4000"/>
            <w:tcMar>
              <w:top w:type="dxa" w:w="100"/>
              <w:left w:type="dxa" w:w="120"/>
              <w:bottom w:type="dxa" w:w="100"/>
              <w:right w:type="dxa" w:w="120"/>
            </w:tcMar>
          </w:tcPr>
          <w:p>
            <w:r>
              <w:rPr>
                <w:sz w:val="20"/>
                <w:szCs w:val="20"/>
              </w:rPr>
              <w:t xml:space="preserve">25 (83%)</w:t>
            </w:r>
          </w:p>
        </w:tc>
      </w:tr>
      <w:tr>
        <w:tc>
          <w:tcPr>
            <w:tcW w:type="dxa" w:w="5350"/>
            <w:tcMar>
              <w:top w:type="dxa" w:w="100"/>
              <w:left w:type="dxa" w:w="120"/>
              <w:bottom w:type="dxa" w:w="100"/>
              <w:right w:type="dxa" w:w="120"/>
            </w:tcMar>
          </w:tcPr>
          <w:p>
            <w:r>
              <w:rPr>
                <w:sz w:val="20"/>
                <w:szCs w:val="20"/>
              </w:rPr>
              <w:t xml:space="preserve">AI diagnoses Edited by reviewer</w:t>
            </w:r>
          </w:p>
        </w:tc>
        <w:tc>
          <w:tcPr>
            <w:tcW w:type="dxa" w:w="4000"/>
            <w:tcMar>
              <w:top w:type="dxa" w:w="100"/>
              <w:left w:type="dxa" w:w="120"/>
              <w:bottom w:type="dxa" w:w="100"/>
              <w:right w:type="dxa" w:w="120"/>
            </w:tcMar>
          </w:tcPr>
          <w:p>
            <w:r>
              <w:rPr>
                <w:sz w:val="20"/>
                <w:szCs w:val="20"/>
              </w:rPr>
              <w:t xml:space="preserve">3</w:t>
            </w:r>
          </w:p>
        </w:tc>
      </w:tr>
      <w:tr>
        <w:tc>
          <w:tcPr>
            <w:tcW w:type="dxa" w:w="5350"/>
            <w:tcMar>
              <w:top w:type="dxa" w:w="100"/>
              <w:left w:type="dxa" w:w="120"/>
              <w:bottom w:type="dxa" w:w="100"/>
              <w:right w:type="dxa" w:w="120"/>
            </w:tcMar>
          </w:tcPr>
          <w:p>
            <w:r>
              <w:rPr>
                <w:sz w:val="20"/>
                <w:szCs w:val="20"/>
              </w:rPr>
              <w:t xml:space="preserve">AI diagnoses Rejected and rewritten</w:t>
            </w:r>
          </w:p>
        </w:tc>
        <w:tc>
          <w:tcPr>
            <w:tcW w:type="dxa" w:w="4000"/>
            <w:tcMar>
              <w:top w:type="dxa" w:w="100"/>
              <w:left w:type="dxa" w:w="120"/>
              <w:bottom w:type="dxa" w:w="100"/>
              <w:right w:type="dxa" w:w="120"/>
            </w:tcMar>
          </w:tcPr>
          <w:p>
            <w:r>
              <w:rPr>
                <w:sz w:val="20"/>
                <w:szCs w:val="20"/>
              </w:rPr>
              <w:t xml:space="preserve">2</w:t>
            </w:r>
          </w:p>
        </w:tc>
      </w:tr>
      <w:tr>
        <w:tc>
          <w:tcPr>
            <w:tcW w:type="dxa" w:w="5350"/>
            <w:tcMar>
              <w:top w:type="dxa" w:w="100"/>
              <w:left w:type="dxa" w:w="120"/>
              <w:bottom w:type="dxa" w:w="100"/>
              <w:right w:type="dxa" w:w="120"/>
            </w:tcMar>
          </w:tcPr>
          <w:p>
            <w:r>
              <w:rPr>
                <w:sz w:val="20"/>
                <w:szCs w:val="20"/>
              </w:rPr>
              <w:t xml:space="preserve">Cases caught by the deterministic rule checker</w:t>
            </w:r>
          </w:p>
        </w:tc>
        <w:tc>
          <w:tcPr>
            <w:tcW w:type="dxa" w:w="4000"/>
            <w:tcMar>
              <w:top w:type="dxa" w:w="100"/>
              <w:left w:type="dxa" w:w="120"/>
              <w:bottom w:type="dxa" w:w="100"/>
              <w:right w:type="dxa" w:w="120"/>
            </w:tcMar>
          </w:tcPr>
          <w:p>
            <w:r>
              <w:rPr>
                <w:sz w:val="20"/>
                <w:szCs w:val="20"/>
              </w:rPr>
              <w:t xml:space="preserve">11 of 30 (37%)</w:t>
            </w:r>
          </w:p>
        </w:tc>
      </w:tr>
    </w:tbl>
    <w:p>
      <w:pPr>
        <w:spacing w:before="200"/>
      </w:pPr>
    </w:p>
    <w:p>
      <w:pPr>
        <w:spacing w:after="150"/>
      </w:pPr>
      <w:r>
        <w:rPr>
          <w:sz w:val="22"/>
          <w:szCs w:val="22"/>
        </w:rPr>
        <w:t xml:space="preserve">The 5 corrected cases (documented fully in the Responsible AI log) revealed two recurring weaknesses in the AI's reasoning: it sometimes over-generalized a fault pattern seen in one case to a superficially similar but structurally different case (e.g., assuming an OSPF issue in a router-on-a-stick topology with no OSPF running), and it occasionally reported the correct fault category without citing the specific identifier (VLAN number, interface name) needed to act on it. Both issues were fed back into refining the prompt's worked examples.</w:t>
      </w:r>
    </w:p>
    <w:p>
      <w:pPr>
        <w:pStyle w:val="Heading1"/>
        <w:spacing w:after="150" w:before="300"/>
      </w:pPr>
      <w:r>
        <w:t xml:space="preserve">7. Learning Outcomes</w:t>
      </w:r>
    </w:p>
    <w:p>
      <w:pPr>
        <w:pStyle w:val="ListParagraph"/>
        <w:numPr>
          <w:ilvl w:val="0"/>
          <w:numId w:val="1"/>
        </w:numPr>
        <w:spacing w:after="80"/>
      </w:pPr>
      <w:r>
        <w:rPr>
          <w:sz w:val="22"/>
          <w:szCs w:val="22"/>
        </w:rPr>
        <w:t xml:space="preserve">Strengthened my practical understanding of Layer 2/3 troubleshooting across VLANs, routing, DHCP, DNS, ACLs, NAT, and wireless.</w:t>
      </w:r>
    </w:p>
    <w:p>
      <w:pPr>
        <w:pStyle w:val="ListParagraph"/>
        <w:numPr>
          <w:ilvl w:val="0"/>
          <w:numId w:val="1"/>
        </w:numPr>
        <w:spacing w:after="80"/>
      </w:pPr>
      <w:r>
        <w:rPr>
          <w:sz w:val="22"/>
          <w:szCs w:val="22"/>
        </w:rPr>
        <w:t xml:space="preserve">Learned to design AI prompts that constrain a model to evidence-grounded, structured output rather than free-form guesses.</w:t>
      </w:r>
    </w:p>
    <w:p>
      <w:pPr>
        <w:pStyle w:val="ListParagraph"/>
        <w:numPr>
          <w:ilvl w:val="0"/>
          <w:numId w:val="1"/>
        </w:numPr>
        <w:spacing w:after="80"/>
      </w:pPr>
      <w:r>
        <w:rPr>
          <w:sz w:val="22"/>
          <w:szCs w:val="22"/>
        </w:rPr>
        <w:t xml:space="preserve">Understood why a purely AI-driven diagnostic tool is insufficient on its own, and how deterministic checks and mandatory human review together reduce the risk of a wrong fix being applied.</w:t>
      </w:r>
    </w:p>
    <w:p>
      <w:pPr>
        <w:pStyle w:val="ListParagraph"/>
        <w:numPr>
          <w:ilvl w:val="0"/>
          <w:numId w:val="1"/>
        </w:numPr>
        <w:spacing w:after="80"/>
      </w:pPr>
      <w:r>
        <w:rPr>
          <w:sz w:val="22"/>
          <w:szCs w:val="22"/>
        </w:rPr>
        <w:t xml:space="preserve">Gained experience building a reporting dashboard that makes AI performance measurable and auditable rather than anecdotal.</w:t>
      </w:r>
    </w:p>
    <w:p>
      <w:pPr>
        <w:pStyle w:val="ListParagraph"/>
        <w:numPr>
          <w:ilvl w:val="0"/>
          <w:numId w:val="1"/>
        </w:numPr>
        <w:spacing w:after="80"/>
      </w:pPr>
      <w:r>
        <w:rPr>
          <w:sz w:val="22"/>
          <w:szCs w:val="22"/>
        </w:rPr>
        <w:t xml:space="preserve">Practiced documenting failures transparently (the Responsible AI log) rather than only reporting successes — a habit directly relevant to responsible AI deployment in real engineering teams.</w:t>
      </w:r>
    </w:p>
    <w:p>
      <w:pPr>
        <w:pStyle w:val="Heading1"/>
        <w:spacing w:after="150" w:before="300"/>
      </w:pPr>
      <w:r>
        <w:t xml:space="preserve">8. Conclusion</w:t>
      </w:r>
    </w:p>
    <w:p>
      <w:pPr>
        <w:spacing w:after="150"/>
      </w:pPr>
      <w:r>
        <w:rPr>
          <w:sz w:val="22"/>
          <w:szCs w:val="22"/>
        </w:rPr>
        <w:t xml:space="preserve">This internship project gave me hands-on experience combining classical network troubleshooting with an applied AI workflow, under a strict human-in-the-loop safety rule. Building NetSage AI end-to-end — from the case dataset and prompt design through the rule checker, human review log, and dashboard — reinforced both my networking fundamentals and a practical understanding of where AI assistance is reliable and where it still needs a human check. I completed this project individually and am confident I can explain and defend every component of the submitted work.</w:t>
      </w:r>
    </w:p>
    <w:p>
      <w:pPr>
        <w:spacing w:before="300"/>
      </w:pPr>
    </w:p>
    <w:p>
      <w:pPr>
        <w:pStyle w:val="Heading1"/>
        <w:spacing w:after="150" w:before="300"/>
      </w:pPr>
      <w:r>
        <w:t xml:space="preserve">9. References</w:t>
      </w:r>
    </w:p>
    <w:p>
      <w:pPr>
        <w:pStyle w:val="ListParagraph"/>
        <w:numPr>
          <w:ilvl w:val="0"/>
          <w:numId w:val="1"/>
        </w:numPr>
        <w:spacing w:after="80"/>
      </w:pPr>
      <w:r>
        <w:rPr>
          <w:sz w:val="22"/>
          <w:szCs w:val="22"/>
        </w:rPr>
        <w:t xml:space="preserve">Cisco Networking Academy — Packet Tracer documentation</w:t>
      </w:r>
    </w:p>
    <w:p>
      <w:pPr>
        <w:pStyle w:val="ListParagraph"/>
        <w:numPr>
          <w:ilvl w:val="0"/>
          <w:numId w:val="1"/>
        </w:numPr>
        <w:spacing w:after="80"/>
      </w:pPr>
      <w:r>
        <w:rPr>
          <w:sz w:val="22"/>
          <w:szCs w:val="22"/>
        </w:rPr>
        <w:t xml:space="preserve">Cisco-AICTE Virtual Internship Program 2026, Project 2 problem statement (NetSage AI)</w:t>
      </w:r>
    </w:p>
    <w:p>
      <w:pPr>
        <w:pStyle w:val="ListParagraph"/>
        <w:numPr>
          <w:ilvl w:val="0"/>
          <w:numId w:val="1"/>
        </w:numPr>
        <w:spacing w:after="80"/>
      </w:pPr>
      <w:r>
        <w:rPr>
          <w:sz w:val="22"/>
          <w:szCs w:val="22"/>
        </w:rPr>
        <w:t xml:space="preserve">Course materials and lab exercises provided during the internship program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Internship Report — Robin (2410030613)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2026-08-29T14:16:21.625Z</dcterms:created>
  <dcterms:modified xsi:type="dcterms:W3CDTF">2026-08-29T14:16:21.649Z</dcterms:modified>
</cp:coreProperties>
</file>

<file path=docProps/custom.xml><?xml version="1.0" encoding="utf-8"?>
<Properties xmlns="http://schemas.openxmlformats.org/officeDocument/2006/custom-properties" xmlns:vt="http://schemas.openxmlformats.org/officeDocument/2006/docPropsVTypes"/>
</file>