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sz w:val="28"/>
        </w:rPr>
        <w:t>ML-basiertes adaptives Lern-Ökosystem zur datengetriebenen Abbruchprognose &amp; Interventionssteuerung im Online-Spracherwerb</w:t>
      </w:r>
    </w:p>
    <w:p>
      <w:pPr>
        <w:spacing w:before="240" w:after="120"/>
      </w:pPr>
      <w:r>
        <w:rPr>
          <w:rFonts w:ascii="Arial" w:hAnsi="Arial"/>
          <w:b/>
          <w:sz w:val="24"/>
        </w:rPr>
        <w:t>Was ist das Ziel Ihres Vorhabens? Welche Herausforderung oder Problemstellung soll mit dem Vorhaben gelöst bzw. welche Wissenslücke soll mit dem Vorhaben geschlossen werden?</w:t>
      </w:r>
    </w:p>
    <w:p>
      <w:pPr/>
      <w:r>
        <w:t>Im Online-Spracherwerb fehlen gesicherte Erkenntnisse darüber, wie heterogene Lernverhaltensdaten (Unterrichtsteilnahme, Übungsfrequenz, Pausenverhalten, Abonnementstatus) so modelliert werden können, dass individualisierte Interventionen zur Reduktion v. Beteiligungsdrift bei ernsthaften Sprachlernenden zuverlässig ableitbar sind. Bestehende Ansätze (Duolingo, Babbel, Busuu) nutzen gamifizierte Mikrolern-Impulse für Gelegenheitslernende; kohortenbasierte Verbleibsmodelle können individuelle Risikomuster nicht prognostizieren. Stationäre Sprachschulen (Goethe-Institut, Berlitz) bieten keine datengetriebene Verhaltensanalyse.</w:t>
        <w:br/>
        <w:t>Ziel war es zu untersuchen, ob ein adaptives Lern-Ökosystem aus (1) ML-basierter Abbruchprognose (Gradient Boosting, Random Forest) auf rekonstruierten Subskriptionsketten, (2) verhaltensbasiertem Nudging-Framework zur individualisierten Interventionssteuerung &amp; (3) probabilistischer Kanalwirkungsanalyse (Markov-Ketten, Shapley-Wert-Dekomposition) die Verbleibswahrscheinlichkeit signifikant verbessern kann. Datengrundlage: ca. 40.000 Klassen/Monat, vier Sprachen, globaler Nutzerstamm. Die Subskriptionsdaten mussten in analysefähige Verlaufsketten transformiert werden (Pausen, Reaktivierungen, Testzeiträume), da keine entsprechende Datenstruktur existierte. Angestrebt wurden Erkenntnisse, ob &amp; unter welchen Bedingungen ML-Prognosemodelle auf rekonstruierten Verhaltensdaten handlungsrelevante Interventionssignale erzeugen können.</w:t>
      </w:r>
    </w:p>
    <w:p>
      <w:r>
        <w:rPr>
          <w:rFonts w:ascii="Arial" w:hAnsi="Arial"/>
          <w:i/>
          <w:color w:val="808080"/>
          <w:sz w:val="18"/>
        </w:rPr>
        <w:t>(1,472 / 1,500 Zeichen)</w:t>
      </w:r>
    </w:p>
    <w:p>
      <w:pPr>
        <w:spacing w:before="240" w:after="120"/>
      </w:pPr>
      <w:r>
        <w:rPr>
          <w:rFonts w:ascii="Arial" w:hAnsi="Arial"/>
          <w:b/>
          <w:sz w:val="24"/>
        </w:rPr>
        <w:t>Inwieweit hebt sich das angestrebte Produkt, Verfahren oder die Dienstleistung vom Stand der Technik ab?</w:t>
      </w:r>
    </w:p>
    <w:p>
      <w:pPr/>
      <w:r>
        <w:t>Zum Vorhabenbeginn 2021 existierten keine Verfahren zur ML-basierten Abbruchprognose für ernsthafte Online-Sprachlernende m. flexiblen Subskriptionsmodellen. Lösungen (Duolingo, Babbel, Busuu) adressierten Gelegenheitslernende; kohortenbasierte Modelle boten keine individuelle Prognose.</w:t>
        <w:br/>
        <w:t>Neu:</w:t>
        <w:br/>
        <w:t>- ML-Abbruchprognose auf rekonstruierten Subskriptionsketten</w:t>
        <w:br/>
        <w:t>- Verhaltensbasiertes Nudging-Framework</w:t>
        <w:br/>
        <w:t>- Probabilist. Kanalwirkungsanalyse (Markov, Shapley-Wert)</w:t>
        <w:br/>
        <w:t>- ELT-basierte Echtzeitdatenverfügbarkeit</w:t>
      </w:r>
    </w:p>
    <w:p>
      <w:r>
        <w:rPr>
          <w:rFonts w:ascii="Arial" w:hAnsi="Arial"/>
          <w:i/>
          <w:color w:val="808080"/>
          <w:sz w:val="18"/>
        </w:rPr>
        <w:t>(494 / 500 Zeichen)</w:t>
      </w:r>
    </w:p>
    <w:p>
      <w:pPr>
        <w:spacing w:before="240" w:after="120"/>
      </w:pPr>
      <w:r>
        <w:rPr>
          <w:rFonts w:ascii="Arial" w:hAnsi="Arial"/>
          <w:b/>
          <w:sz w:val="24"/>
        </w:rPr>
        <w:t>Welche Arbeiten werden durchgeführt, um der zuvor benannten Herausforderung oder Problemstellung zu begegnen bzw. um die Wissenslücke zu schließen?</w:t>
      </w:r>
    </w:p>
    <w:p>
      <w:pPr/>
      <w:r>
        <w:t>Zunächst wurde die ETL-Datenplattform zu einer ELT-Architektur transformiert, heterogene Rohdaten in einem Data Lake konsolidiert &amp; über deklarative Transformationsschichten harmonisiert, um Echtzeitverfügbarkeit für nachgelagerte Analysen zu gewährleisten. Darauf wurden Subskriptionsketten rekonstruiert, die Pausen, Reaktivierungen &amp; Testzeiträume abbilden – eine Struktur, die in d. Produktionsdatenbank nicht existierte. Nun wurde ein ML-basiertes Abbruchprognosemodell entwickelt: Klassifikationsverfahren (Random Forest, Gradient Boosting, Logistic Regression) wurden auf histor. Verhaltensdaten trainiert &amp; mittels Kreuzvalidierung evaluiert. Parallel wurde eine probabilist. Kanalwirkungsanalyse (Markov-Ketten &amp; Shapley-Wert-Dekomposition) implementiert, um regelbasierte Zuordnungsmodelle durch datengetriebene Verfahren zu ersetzen. Final wurde ein Nudging-Framework konzipiert, das Prognoseergebnisse in individualisierte Interventionssignale überführt &amp; deren Wirksamkeit evaluiert.</w:t>
      </w:r>
    </w:p>
    <w:p>
      <w:r>
        <w:rPr>
          <w:rFonts w:ascii="Arial" w:hAnsi="Arial"/>
          <w:i/>
          <w:color w:val="808080"/>
          <w:sz w:val="18"/>
        </w:rPr>
        <w:t>(996 / 1,000 Zeichen)</w:t>
      </w:r>
    </w:p>
    <w:p>
      <w:pPr>
        <w:spacing w:before="240" w:after="120"/>
      </w:pPr>
      <w:r>
        <w:rPr>
          <w:rFonts w:ascii="Arial" w:hAnsi="Arial"/>
          <w:b/>
          <w:sz w:val="24"/>
        </w:rPr>
        <w:t>Welche wissenschaftlichen, technischen und/oder methodischen Unsicherheiten bestehen bei der Bearbeitung der Herausforderung oder Problemstellung?</w:t>
      </w:r>
    </w:p>
    <w:p>
      <w:pPr/>
      <w:r>
        <w:t>Unklar ist, ob ML-Klassifikationsverfahren (Random Forest, Gradient Boosting) auf rekonstruierten Subskriptionsketten m. starkem Klassenungleichgewicht (15% Abbrüche) präzise Interventionssignale erzeugen, wenn Verhaltensmuster durch flexible Subskriptionsmodelle (Pausen, Reaktivierungen) nichtlinear verlaufen. Dem wurde m. domänenspez. Feature Engineering, Resampling &amp; Schwellenwertoptimierung entgegengewirkt. Dennoch könnte d. Vorhaben scheitern, wenn d. Subskriptionsketten d. Lernverläufe nicht valide abbilden &amp; d. Prognosequalität unter Realbedingungen keine handlungsrelevante Differenzierung ermöglicht.</w:t>
        <w:br/>
        <w:t>Offen ist, ob d. probabilist. Kanalwirkungsanalyse (Markov-Ketten, Shapley-Wert) ohne verifizierbare Referenzzuordnung (fehlende Ground Truth) konvergente &amp; interpretierbare Ergebnisse liefern kann. D. Kopplung datengetriebener m. regelbasierter Attribution erzeugt ein Spannungsfeld zw. Modellkomplexität &amp; Erklärbarkeit, dessen Auflösung vorab nicht gesichert ist.</w:t>
      </w:r>
    </w:p>
    <w:p>
      <w:r>
        <w:rPr>
          <w:rFonts w:ascii="Arial" w:hAnsi="Arial"/>
          <w:i/>
          <w:color w:val="808080"/>
          <w:sz w:val="18"/>
        </w:rPr>
        <w:t>(982 / 1,000 Zeichen)</w:t>
      </w:r>
    </w:p>
    <w:p>
      <w:pPr>
        <w:spacing w:before="240" w:after="120"/>
      </w:pPr>
      <w:r>
        <w:rPr>
          <w:rFonts w:ascii="Arial" w:hAnsi="Arial"/>
          <w:b/>
          <w:sz w:val="24"/>
        </w:rPr>
        <w:t>Schlagwörter</w:t>
      </w:r>
    </w:p>
    <w:p>
      <w:pPr/>
      <w:r>
        <w:t>1. Maschinelles Lernen</w:t>
      </w:r>
    </w:p>
    <w:p>
      <w:pPr/>
      <w:r>
        <w:t>2. Abbruchprognose</w:t>
      </w:r>
    </w:p>
    <w:p>
      <w:pPr/>
      <w:r>
        <w:t>3. Online-Spracherwerb</w:t>
      </w:r>
    </w:p>
    <w:p>
      <w:pPr/>
      <w:r>
        <w:t>4. Verhaltensmodellierung</w:t>
      </w:r>
    </w:p>
    <w:p>
      <w:pPr/>
      <w:r>
        <w:t>5. Nudging-Framework</w:t>
      </w:r>
    </w:p>
    <w:p>
      <w:pPr/>
      <w:r>
        <w:t>6. Kanalwirkungsanalyse</w:t>
      </w:r>
    </w:p>
    <w:p>
      <w:pPr/>
      <w:r>
        <w:t>7. Markov-Ketten</w:t>
      </w:r>
    </w:p>
    <w:p>
      <w:pPr/>
      <w:r>
        <w:t>8. Subskriptionsketten-Rekonstruktion</w:t>
      </w:r>
    </w:p>
    <w:p>
      <w:pPr/>
      <w:r>
        <w:t>9. ELT-Datenarchitektur</w:t>
      </w:r>
    </w:p>
    <w:p>
      <w:pPr/>
      <w:r>
        <w:t>10. Probabilistische Attribution</w:t>
      </w:r>
    </w:p>
    <w:p>
      <w:r>
        <w:br w:type="page"/>
      </w:r>
    </w:p>
    <w:p>
      <w:pPr>
        <w:spacing w:before="240" w:after="120"/>
      </w:pPr>
      <w:r>
        <w:rPr>
          <w:rFonts w:ascii="Arial" w:hAnsi="Arial"/>
          <w:b/>
          <w:sz w:val="28"/>
        </w:rPr>
        <w:t>Arbeitsplan – ML-basiertes adaptives Lern-Ökosystem zur datengetriebenen Abbruchprognose &amp; Interventionssteuerung im Online-Spracherwerb</w:t>
      </w:r>
    </w:p>
    <w:p>
      <w:pPr>
        <w:spacing w:before="240" w:after="120"/>
      </w:pPr>
      <w:r>
        <w:rPr>
          <w:rFonts w:ascii="Arial" w:hAnsi="Arial"/>
          <w:b/>
          <w:sz w:val="22"/>
        </w:rPr>
        <w:t>AP1 – Datenplattform-Transformation &amp; Echtzeitdatenverfügbarkeit (Datenarchitektur) (Jan 2021 – Jun 2021)</w:t>
      </w:r>
    </w:p>
    <w:p>
      <w:pPr>
        <w:spacing w:before="240" w:after="120"/>
      </w:pPr>
      <w:r>
        <w:rPr>
          <w:rFonts w:ascii="Arial" w:hAnsi="Arial"/>
          <w:b w:val="0"/>
          <w:sz w:val="22"/>
        </w:rPr>
        <w:t>AP1.1 – Transformieren der ETL-Architektur zu ELT mit Data Lake: Jan 2021 – Mär 2021</w:t>
      </w:r>
    </w:p>
    <w:p>
      <w:pPr/>
      <w:r>
        <w:t>Die bestehende ETL-basierte Datenplattform wurde grundlegend umstrukturiert. Rohdaten aus heterogenen Quellsystemen (Produktionsdatenbank, Buchungssystem, Zahlungsplattform) wurden in einen zentralen Data Lake überführt.</w:t>
      </w:r>
    </w:p>
    <w:p>
      <w:r>
        <w:rPr>
          <w:rFonts w:ascii="Arial" w:hAnsi="Arial"/>
          <w:b/>
          <w:sz w:val="22"/>
        </w:rPr>
        <w:t xml:space="preserve">Ergebnis: </w:t>
      </w:r>
      <w:r>
        <w:rPr>
          <w:rFonts w:ascii="Arial" w:hAnsi="Arial"/>
          <w:sz w:val="22"/>
        </w:rPr>
        <w:t>Funktionsfähiger Data Lake mit automatisierten Extraktionspipelines für alle relevanten Datenquellen.</w:t>
      </w:r>
    </w:p>
    <w:p>
      <w:pPr>
        <w:spacing w:before="240" w:after="120"/>
      </w:pPr>
      <w:r>
        <w:rPr>
          <w:rFonts w:ascii="Arial" w:hAnsi="Arial"/>
          <w:b w:val="0"/>
          <w:sz w:val="22"/>
        </w:rPr>
        <w:t>AP1.2 – Implementieren deklarativer Transformationsschichten: Mär 2021 – Mai 2021</w:t>
      </w:r>
    </w:p>
    <w:p>
      <w:pPr/>
      <w:r>
        <w:t>SQL-basierte Transformationsschichten wurden implementiert, die Rohdaten in analytisch nutzbare Modelle überführen. 12-15 Personen statt zuvor 3-4 konnten an der Transformationslogik mitwirken.</w:t>
      </w:r>
    </w:p>
    <w:p>
      <w:r>
        <w:rPr>
          <w:rFonts w:ascii="Arial" w:hAnsi="Arial"/>
          <w:b/>
          <w:sz w:val="22"/>
        </w:rPr>
        <w:t xml:space="preserve">Ergebnis: </w:t>
      </w:r>
      <w:r>
        <w:rPr>
          <w:rFonts w:ascii="Arial" w:hAnsi="Arial"/>
          <w:sz w:val="22"/>
        </w:rPr>
        <w:t>Deklarative Transformationspipeline mit versionierter Modelllogik und automatisierten Tests.</w:t>
      </w:r>
    </w:p>
    <w:p>
      <w:pPr>
        <w:spacing w:before="240" w:after="120"/>
      </w:pPr>
      <w:r>
        <w:rPr>
          <w:rFonts w:ascii="Arial" w:hAnsi="Arial"/>
          <w:b w:val="0"/>
          <w:sz w:val="22"/>
        </w:rPr>
        <w:t>AP1.3 – Validieren der Datenqualität und Verfügbarkeit: Mai 2021 – Jun 2021</w:t>
      </w:r>
    </w:p>
    <w:p>
      <w:pPr/>
      <w:r>
        <w:t>Statistische Vergleichsanalysen (Zeilenanzahl, Verteilungen, Nullwert-Anteile) stellten sicher, dass die ELT-Pipeline keine systematischen Verzerrungen einführt.</w:t>
      </w:r>
    </w:p>
    <w:p>
      <w:r>
        <w:rPr>
          <w:rFonts w:ascii="Arial" w:hAnsi="Arial"/>
          <w:b/>
          <w:sz w:val="22"/>
        </w:rPr>
        <w:t xml:space="preserve">Ergebnis: </w:t>
      </w:r>
      <w:r>
        <w:rPr>
          <w:rFonts w:ascii="Arial" w:hAnsi="Arial"/>
          <w:sz w:val="22"/>
        </w:rPr>
        <w:t>Validierungsbericht mit quantifizierten Abweichungsmetriken.</w:t>
      </w:r>
    </w:p>
    <w:p>
      <w:pPr>
        <w:spacing w:before="240" w:after="120"/>
      </w:pPr>
      <w:r>
        <w:rPr>
          <w:rFonts w:ascii="Arial" w:hAnsi="Arial"/>
          <w:b/>
          <w:sz w:val="22"/>
        </w:rPr>
        <w:t>AP2 – Subskriptionsketten-Rekonstruktion &amp; Feature Engineering (Datenmodellierung) (Apr 2021 – Sep 2021)</w:t>
      </w:r>
    </w:p>
    <w:p>
      <w:pPr>
        <w:spacing w:before="240" w:after="120"/>
      </w:pPr>
      <w:r>
        <w:rPr>
          <w:rFonts w:ascii="Arial" w:hAnsi="Arial"/>
          <w:b w:val="0"/>
          <w:sz w:val="22"/>
        </w:rPr>
        <w:t>AP2.1 – Rekonstruieren von Subskriptionsverläufen: Apr 2021 – Jun 2021</w:t>
      </w:r>
    </w:p>
    <w:p>
      <w:pPr/>
      <w:r>
        <w:t>Lernverläufe mussten aus fragmentierten Quelldaten (Testphasen, aktive Abonnements, Pausen, Reaktivierungen, Kündigungen) in zusammenhängende Subskriptionsketten transformiert werden.</w:t>
      </w:r>
    </w:p>
    <w:p>
      <w:r>
        <w:rPr>
          <w:rFonts w:ascii="Arial" w:hAnsi="Arial"/>
          <w:b/>
          <w:sz w:val="22"/>
        </w:rPr>
        <w:t xml:space="preserve">Ergebnis: </w:t>
      </w:r>
      <w:r>
        <w:rPr>
          <w:rFonts w:ascii="Arial" w:hAnsi="Arial"/>
          <w:sz w:val="22"/>
        </w:rPr>
        <w:t>Rekonstruierte Subskriptionsketten für den gesamten historischen Nutzerstamm.</w:t>
      </w:r>
    </w:p>
    <w:p>
      <w:pPr>
        <w:spacing w:before="240" w:after="120"/>
      </w:pPr>
      <w:r>
        <w:rPr>
          <w:rFonts w:ascii="Arial" w:hAnsi="Arial"/>
          <w:b w:val="0"/>
          <w:sz w:val="22"/>
        </w:rPr>
        <w:t>AP2.2 – Entwickeln domänenspezifischer Features: Jun 2021 – Aug 2021</w:t>
      </w:r>
    </w:p>
    <w:p>
      <w:pPr/>
      <w:r>
        <w:t>Merkmale zur Abbruchprognose: Teilnahmefrequenz, Pausenmuster, Rabattnutzung, Testverhalten, Buchungszeitpunkte. Aggregierte Verhaltensmetriken über rollierende Fenster.</w:t>
      </w:r>
    </w:p>
    <w:p>
      <w:r>
        <w:rPr>
          <w:rFonts w:ascii="Arial" w:hAnsi="Arial"/>
          <w:b/>
          <w:sz w:val="22"/>
        </w:rPr>
        <w:t xml:space="preserve">Ergebnis: </w:t>
      </w:r>
      <w:r>
        <w:rPr>
          <w:rFonts w:ascii="Arial" w:hAnsi="Arial"/>
          <w:sz w:val="22"/>
        </w:rPr>
        <w:t>Feature-Katalog mit Definitionen, Berechnungslogik und explorativer Analyse.</w:t>
      </w:r>
    </w:p>
    <w:p>
      <w:pPr>
        <w:spacing w:before="240" w:after="120"/>
      </w:pPr>
      <w:r>
        <w:rPr>
          <w:rFonts w:ascii="Arial" w:hAnsi="Arial"/>
          <w:b w:val="0"/>
          <w:sz w:val="22"/>
        </w:rPr>
        <w:t>AP2.3 – Validieren der Verlaufsketten: Aug 2021 – Sep 2021</w:t>
      </w:r>
    </w:p>
    <w:p>
      <w:pPr/>
      <w:r>
        <w:t>Stratifizierte Stichprobe von 200 Nutzerprofilen manuell gegen automatisch rekonstruierte Verlaufsketten geprüft.</w:t>
      </w:r>
    </w:p>
    <w:p>
      <w:r>
        <w:rPr>
          <w:rFonts w:ascii="Arial" w:hAnsi="Arial"/>
          <w:b/>
          <w:sz w:val="22"/>
        </w:rPr>
        <w:t xml:space="preserve">Ergebnis: </w:t>
      </w:r>
      <w:r>
        <w:rPr>
          <w:rFonts w:ascii="Arial" w:hAnsi="Arial"/>
          <w:sz w:val="22"/>
        </w:rPr>
        <w:t>Validierungsprotokoll mit &gt;95% Übereinstimmung.</w:t>
      </w:r>
    </w:p>
    <w:p>
      <w:pPr>
        <w:spacing w:before="240" w:after="120"/>
      </w:pPr>
      <w:r>
        <w:rPr>
          <w:rFonts w:ascii="Arial" w:hAnsi="Arial"/>
          <w:b/>
          <w:sz w:val="22"/>
        </w:rPr>
        <w:t>AP3 – ML-basierte Abbruchprognose (Maschinelles Lernen) (Jul 2021 – Mär 2022)</w:t>
      </w:r>
    </w:p>
    <w:p>
      <w:pPr>
        <w:spacing w:before="240" w:after="120"/>
      </w:pPr>
      <w:r>
        <w:rPr>
          <w:rFonts w:ascii="Arial" w:hAnsi="Arial"/>
          <w:b w:val="0"/>
          <w:sz w:val="22"/>
        </w:rPr>
        <w:t>AP3.1 – Trainieren und Benchmarken von Klassifikationsverfahren: Jul 2021 – Nov 2021</w:t>
      </w:r>
    </w:p>
    <w:p>
      <w:pPr/>
      <w:r>
        <w:t>Random Forest, Gradient Boosting, Logistic Regression auf rekonstruierten Subskriptionsketten. Resampling-Strategien (SMOTE, Undersampling) bei 15% Klassenungleichgewicht.</w:t>
      </w:r>
    </w:p>
    <w:p>
      <w:r>
        <w:rPr>
          <w:rFonts w:ascii="Arial" w:hAnsi="Arial"/>
          <w:b/>
          <w:sz w:val="22"/>
        </w:rPr>
        <w:t xml:space="preserve">Ergebnis: </w:t>
      </w:r>
      <w:r>
        <w:rPr>
          <w:rFonts w:ascii="Arial" w:hAnsi="Arial"/>
          <w:sz w:val="22"/>
        </w:rPr>
        <w:t>Benchmarkbericht mit Precision, Recall und F1-Score auf stratifiziertem Test-Set.</w:t>
      </w:r>
    </w:p>
    <w:p>
      <w:pPr>
        <w:spacing w:before="240" w:after="120"/>
      </w:pPr>
      <w:r>
        <w:rPr>
          <w:rFonts w:ascii="Arial" w:hAnsi="Arial"/>
          <w:b w:val="0"/>
          <w:sz w:val="22"/>
        </w:rPr>
        <w:t>AP3.2 – Evaluieren mittels Kreuzvalidierung: Nov 2021 – Jan 2022</w:t>
      </w:r>
    </w:p>
    <w:p>
      <w:pPr/>
      <w:r>
        <w:t>k-fache Kreuzvalidierung, systematische Schwellenwertoptimierung, Konfidenzintervalle für Prognosegüte.</w:t>
      </w:r>
    </w:p>
    <w:p>
      <w:r>
        <w:rPr>
          <w:rFonts w:ascii="Arial" w:hAnsi="Arial"/>
          <w:b/>
          <w:sz w:val="22"/>
        </w:rPr>
        <w:t xml:space="preserve">Ergebnis: </w:t>
      </w:r>
      <w:r>
        <w:rPr>
          <w:rFonts w:ascii="Arial" w:hAnsi="Arial"/>
          <w:sz w:val="22"/>
        </w:rPr>
        <w:t>Optimierte Schwellenwertmatrix mit dokumentiertem Precision-Recall-Trade-off.</w:t>
      </w:r>
    </w:p>
    <w:p>
      <w:pPr>
        <w:spacing w:before="240" w:after="120"/>
      </w:pPr>
      <w:r>
        <w:rPr>
          <w:rFonts w:ascii="Arial" w:hAnsi="Arial"/>
          <w:b w:val="0"/>
          <w:sz w:val="22"/>
        </w:rPr>
        <w:t>AP3.3 – Testen des Prognosemodells unter Realbedingungen: Jan 2022 – Mär 2022</w:t>
      </w:r>
    </w:p>
    <w:p>
      <w:pPr/>
      <w:r>
        <w:t>Anwendung auf aktuelle Nutzerdaten, Evaluation gegen tatsächliches Verhalten unter veränderten Rahmenbedingungen.</w:t>
      </w:r>
    </w:p>
    <w:p>
      <w:r>
        <w:rPr>
          <w:rFonts w:ascii="Arial" w:hAnsi="Arial"/>
          <w:b/>
          <w:sz w:val="22"/>
        </w:rPr>
        <w:t xml:space="preserve">Ergebnis: </w:t>
      </w:r>
      <w:r>
        <w:rPr>
          <w:rFonts w:ascii="Arial" w:hAnsi="Arial"/>
          <w:sz w:val="22"/>
        </w:rPr>
        <w:t>Evaluierungsbericht mit Prognosequalität unter Realbedingungen.</w:t>
      </w:r>
    </w:p>
    <w:p>
      <w:pPr>
        <w:spacing w:before="240" w:after="120"/>
      </w:pPr>
      <w:r>
        <w:rPr>
          <w:rFonts w:ascii="Arial" w:hAnsi="Arial"/>
          <w:b/>
          <w:sz w:val="22"/>
        </w:rPr>
        <w:t>AP4 – Probabilistische Kanalwirkungsanalyse (Probabilistische Modellierung) (Okt 2021 – Mai 2022)</w:t>
      </w:r>
    </w:p>
    <w:p>
      <w:pPr>
        <w:spacing w:before="240" w:after="120"/>
      </w:pPr>
      <w:r>
        <w:rPr>
          <w:rFonts w:ascii="Arial" w:hAnsi="Arial"/>
          <w:b w:val="0"/>
          <w:sz w:val="22"/>
        </w:rPr>
        <w:t>AP4.1 – Implementieren Markov-Ketten-basierter Kanalattribution: Okt 2021 – Jan 2022</w:t>
      </w:r>
    </w:p>
    <w:p>
      <w:pPr/>
      <w:r>
        <w:t>Markov-Ketten-Modell für Übergangswahrscheinlichkeiten zwischen Kontaktpunkten im Akquisitionsprozess.</w:t>
      </w:r>
    </w:p>
    <w:p>
      <w:r>
        <w:rPr>
          <w:rFonts w:ascii="Arial" w:hAnsi="Arial"/>
          <w:b/>
          <w:sz w:val="22"/>
        </w:rPr>
        <w:t xml:space="preserve">Ergebnis: </w:t>
      </w:r>
      <w:r>
        <w:rPr>
          <w:rFonts w:ascii="Arial" w:hAnsi="Arial"/>
          <w:sz w:val="22"/>
        </w:rPr>
        <w:t>Implementiertes Markov-Ketten-Attributionsmodell mit dokumentierten Übergangsmatrizen.</w:t>
      </w:r>
    </w:p>
    <w:p>
      <w:pPr>
        <w:spacing w:before="240" w:after="120"/>
      </w:pPr>
      <w:r>
        <w:rPr>
          <w:rFonts w:ascii="Arial" w:hAnsi="Arial"/>
          <w:b w:val="0"/>
          <w:sz w:val="22"/>
        </w:rPr>
        <w:t>AP4.2 – Entwickeln einer Shapley-Wert-Dekomposition: Jan 2022 – Mär 2022</w:t>
      </w:r>
    </w:p>
    <w:p>
      <w:pPr/>
      <w:r>
        <w:t>Spieltheoretische Dekomposition zur Quantifizierung des marginalen Kanalbeitrags zur Konversion.</w:t>
      </w:r>
    </w:p>
    <w:p>
      <w:r>
        <w:rPr>
          <w:rFonts w:ascii="Arial" w:hAnsi="Arial"/>
          <w:b/>
          <w:sz w:val="22"/>
        </w:rPr>
        <w:t xml:space="preserve">Ergebnis: </w:t>
      </w:r>
      <w:r>
        <w:rPr>
          <w:rFonts w:ascii="Arial" w:hAnsi="Arial"/>
          <w:sz w:val="22"/>
        </w:rPr>
        <w:t>Shapley-basiertes Attributionsmodell mit Kanal-Ranking und Konfidenzintervallen.</w:t>
      </w:r>
    </w:p>
    <w:p>
      <w:pPr>
        <w:spacing w:before="240" w:after="120"/>
      </w:pPr>
      <w:r>
        <w:rPr>
          <w:rFonts w:ascii="Arial" w:hAnsi="Arial"/>
          <w:b w:val="0"/>
          <w:sz w:val="22"/>
        </w:rPr>
        <w:t>AP4.3 – Evaluieren gegenüber regelbasiertem Referenzmodell: Mär 2022 – Mai 2022</w:t>
      </w:r>
    </w:p>
    <w:p>
      <w:pPr/>
      <w:r>
        <w:t>Systematischer Vergleich mit bestehendem regelbasiertem Last-Touch-Attributionsmodell.</w:t>
      </w:r>
    </w:p>
    <w:p>
      <w:r>
        <w:rPr>
          <w:rFonts w:ascii="Arial" w:hAnsi="Arial"/>
          <w:b/>
          <w:sz w:val="22"/>
        </w:rPr>
        <w:t xml:space="preserve">Ergebnis: </w:t>
      </w:r>
      <w:r>
        <w:rPr>
          <w:rFonts w:ascii="Arial" w:hAnsi="Arial"/>
          <w:sz w:val="22"/>
        </w:rPr>
        <w:t>Vergleichsanalyse mit quantifizierten Abweichungen; Interpretationsleitfaden.</w:t>
      </w:r>
    </w:p>
    <w:p>
      <w:pPr>
        <w:spacing w:before="240" w:after="120"/>
      </w:pPr>
      <w:r>
        <w:rPr>
          <w:rFonts w:ascii="Arial" w:hAnsi="Arial"/>
          <w:b/>
          <w:sz w:val="22"/>
        </w:rPr>
        <w:t>AP5 – Nudging-Framework &amp; Interventionssteuerung (Systemintegration) (Mär 2022 – Jul 2022)</w:t>
      </w:r>
    </w:p>
    <w:p>
      <w:pPr>
        <w:spacing w:before="240" w:after="120"/>
      </w:pPr>
      <w:r>
        <w:rPr>
          <w:rFonts w:ascii="Arial" w:hAnsi="Arial"/>
          <w:b w:val="0"/>
          <w:sz w:val="22"/>
        </w:rPr>
        <w:t>AP5.1 – Konzipieren der Interventionslogik: Mär 2022 – Apr 2022</w:t>
      </w:r>
    </w:p>
    <w:p>
      <w:pPr/>
      <w:r>
        <w:t>Risikoadaptierte Handlungsempfehlungen: Buchungserinnerungen, Übungsempfehlungen, Klassenvorschläge.</w:t>
      </w:r>
    </w:p>
    <w:p>
      <w:r>
        <w:rPr>
          <w:rFonts w:ascii="Arial" w:hAnsi="Arial"/>
          <w:b/>
          <w:sz w:val="22"/>
        </w:rPr>
        <w:t xml:space="preserve">Ergebnis: </w:t>
      </w:r>
      <w:r>
        <w:rPr>
          <w:rFonts w:ascii="Arial" w:hAnsi="Arial"/>
          <w:sz w:val="22"/>
        </w:rPr>
        <w:t>Dokumentierte Interventionslogik mit Entscheidungsregeln und Schwellenwerten.</w:t>
      </w:r>
    </w:p>
    <w:p>
      <w:pPr>
        <w:spacing w:before="240" w:after="120"/>
      </w:pPr>
      <w:r>
        <w:rPr>
          <w:rFonts w:ascii="Arial" w:hAnsi="Arial"/>
          <w:b w:val="0"/>
          <w:sz w:val="22"/>
        </w:rPr>
        <w:t>AP5.2 – Entwickeln mobiler Auslieferungskomponenten: Apr 2022 – Jun 2022</w:t>
      </w:r>
    </w:p>
    <w:p>
      <w:pPr/>
      <w:r>
        <w:t>Mobile Applikationsarchitektur für globalen Nutzerstamm; curriculumsalignierte Übungsinhalte.</w:t>
      </w:r>
    </w:p>
    <w:p>
      <w:r>
        <w:rPr>
          <w:rFonts w:ascii="Arial" w:hAnsi="Arial"/>
          <w:b/>
          <w:sz w:val="22"/>
        </w:rPr>
        <w:t xml:space="preserve">Ergebnis: </w:t>
      </w:r>
      <w:r>
        <w:rPr>
          <w:rFonts w:ascii="Arial" w:hAnsi="Arial"/>
          <w:sz w:val="22"/>
        </w:rPr>
        <w:t>Prototyp der mobilen Interventionskomponente.</w:t>
      </w:r>
    </w:p>
    <w:p>
      <w:pPr>
        <w:spacing w:before="240" w:after="120"/>
      </w:pPr>
      <w:r>
        <w:rPr>
          <w:rFonts w:ascii="Arial" w:hAnsi="Arial"/>
          <w:b w:val="0"/>
          <w:sz w:val="22"/>
        </w:rPr>
        <w:t>AP5.3 – Evaluieren der Interventionswirksamkeit: Jun 2022 – Jul 2022</w:t>
      </w:r>
    </w:p>
    <w:p>
      <w:pPr/>
      <w:r>
        <w:t>Kontrollierte Vergleiche: Teilnahmefrequenz, Buchungsverhalten, Verbleibsdauer nach Intervention.</w:t>
      </w:r>
    </w:p>
    <w:p>
      <w:r>
        <w:rPr>
          <w:rFonts w:ascii="Arial" w:hAnsi="Arial"/>
          <w:b/>
          <w:sz w:val="22"/>
        </w:rPr>
        <w:t xml:space="preserve">Ergebnis: </w:t>
      </w:r>
      <w:r>
        <w:rPr>
          <w:rFonts w:ascii="Arial" w:hAnsi="Arial"/>
          <w:sz w:val="22"/>
        </w:rPr>
        <w:t>Evaluierungsbericht mit quantifizierter Interventionswirksamkeit.</w:t>
      </w:r>
    </w:p>
    <w:p>
      <w:r>
        <w:br w:type="page"/>
      </w:r>
    </w:p>
    <w:p>
      <w:pPr>
        <w:spacing w:before="240" w:after="120"/>
      </w:pPr>
      <w:r>
        <w:rPr>
          <w:rFonts w:ascii="Arial" w:hAnsi="Arial"/>
          <w:b/>
          <w:sz w:val="28"/>
        </w:rPr>
        <w:t>Arbeitspakete – Kurzfassung</w:t>
      </w:r>
    </w:p>
    <w:p>
      <w:pPr/>
      <w:r>
        <w:t>1 Datenplattform-Transformation &amp; Echtzeitdatenverfügbarkeit</w:t>
      </w:r>
    </w:p>
    <w:p>
      <w:pPr/>
      <w:r>
        <w:t>1.1 Transformieren d. ETL-Architektur zu ELT m. Data Lake (Datenarchitektur-Migration)</w:t>
      </w:r>
    </w:p>
    <w:p>
      <w:pPr/>
      <w:r>
        <w:t>1.2 Implementieren deklarativer Transformationsschichten (SQL-basierte Modellierung)</w:t>
      </w:r>
    </w:p>
    <w:p>
      <w:pPr/>
      <w:r>
        <w:t>1.3 Validieren d. Datenqualität &amp; Verfügbarkeit ggü. Produktionssystem (statist. Vergleichsanalyse)</w:t>
      </w:r>
    </w:p>
    <w:p/>
    <w:p>
      <w:pPr/>
      <w:r>
        <w:t>2 Subskriptionsketten-Rekonstruktion &amp; Feature Engineering</w:t>
      </w:r>
    </w:p>
    <w:p>
      <w:pPr/>
      <w:r>
        <w:t>2.1 Rekonstruieren v. Subskriptionsverläufen aus heterogenen Quelldaten (Datenmodellierung)</w:t>
      </w:r>
    </w:p>
    <w:p>
      <w:pPr/>
      <w:r>
        <w:t>2.2 Entwickeln domänenspez. Features (Pausen, Reaktivierungen, Testzeiträume) (Feature Engineering)</w:t>
      </w:r>
    </w:p>
    <w:p>
      <w:pPr/>
      <w:r>
        <w:t>2.3 Validieren d. Verlaufsketten gegen manuelle Stichproben (statist. Validierung)</w:t>
      </w:r>
    </w:p>
    <w:p/>
    <w:p>
      <w:pPr/>
      <w:r>
        <w:t>3 ML-basierte Abbruchprognose</w:t>
      </w:r>
    </w:p>
    <w:p>
      <w:pPr/>
      <w:r>
        <w:t>3.1 Trainieren &amp; Benchmarken v. Klassifikationsverfahren (Modellselektion)</w:t>
      </w:r>
    </w:p>
    <w:p>
      <w:pPr/>
      <w:r>
        <w:t>3.2 Evaluieren m. Kreuzvalidierung &amp; Schwellenwertoptimierung (statist. Evaluation)</w:t>
      </w:r>
    </w:p>
    <w:p>
      <w:pPr/>
      <w:r>
        <w:t>3.3 Testen d. Prognosemodells unter Realbedingungen (experimentelle Validierung)</w:t>
      </w:r>
    </w:p>
    <w:p/>
    <w:p>
      <w:pPr/>
      <w:r>
        <w:t>4 Probabilistische Kanalwirkungsanalyse</w:t>
      </w:r>
    </w:p>
    <w:p>
      <w:pPr/>
      <w:r>
        <w:t>4.1 Implementieren einer Markov-Ketten-basierten Kanalattribution (probabilist. Modellierung)</w:t>
      </w:r>
    </w:p>
    <w:p>
      <w:pPr/>
      <w:r>
        <w:t>4.2 Entwickeln einer Shapley-Wert-Dekomposition zur Kanalgewichtung (spieltheoret. Analyse)</w:t>
      </w:r>
    </w:p>
    <w:p>
      <w:pPr/>
      <w:r>
        <w:t>4.3 Evaluieren ggü. regelbasiertem Referenzmodell (Vergleichsanalyse)</w:t>
      </w:r>
    </w:p>
    <w:p/>
    <w:p>
      <w:pPr/>
      <w:r>
        <w:t>5 Nudging-Framework &amp; Interventionssteuerung</w:t>
      </w:r>
    </w:p>
    <w:p>
      <w:pPr/>
      <w:r>
        <w:t>5.1 Konzipieren d. verhaltensbasierten Interventionslogik (Systemarchitektur)</w:t>
      </w:r>
    </w:p>
    <w:p>
      <w:pPr/>
      <w:r>
        <w:t>5.2 Entwickeln mobiler Auslieferungskomponenten (Prototypentwicklung)</w:t>
      </w:r>
    </w:p>
    <w:p>
      <w:pPr/>
      <w:r>
        <w:t>5.3 Evaluieren d. Interventionswirksamkeit auf Verbleibswahrscheinlichkeit (experimentelle Evaluation)</w:t>
      </w:r>
    </w:p>
    <w:p>
      <w:r>
        <w:br w:type="page"/>
      </w:r>
    </w:p>
    <w:p>
      <w:pPr>
        <w:spacing w:before="240" w:after="120"/>
        <w:jc w:val="center"/>
      </w:pPr>
      <w:r>
        <w:rPr>
          <w:rFonts w:ascii="Arial" w:hAnsi="Arial"/>
          <w:b/>
          <w:sz w:val="28"/>
        </w:rPr>
        <w:t>INTERNE ANALYSE — NICHT ZUR EINREICHUNG</w:t>
      </w:r>
    </w:p>
    <w:p>
      <w:pPr>
        <w:jc w:val="center"/>
      </w:pPr>
      <w:r>
        <w:rPr>
          <w:color w:val="C80000"/>
        </w:rPr>
        <w:t>────────────────────────────────────────────────────────────</w:t>
      </w:r>
    </w:p>
    <w:p>
      <w:pPr>
        <w:spacing w:before="240" w:after="120"/>
      </w:pPr>
      <w:r>
        <w:rPr>
          <w:rFonts w:ascii="Arial" w:hAnsi="Arial"/>
          <w:b/>
          <w:sz w:val="24"/>
        </w:rPr>
        <w:t>Sofort-Handlungsbedarf (Top 3)</w:t>
      </w:r>
    </w:p>
    <w:p>
      <w:r>
        <w:rPr>
          <w:rFonts w:ascii="Arial" w:hAnsi="Arial"/>
          <w:b/>
          <w:color w:val="C85000"/>
          <w:sz w:val="22"/>
        </w:rPr>
        <w:t xml:space="preserve">1. Vorhabenzeitraum exakt klären: </w:t>
      </w:r>
      <w:r>
        <w:rPr>
          <w:rFonts w:ascii="Arial" w:hAnsi="Arial"/>
          <w:sz w:val="22"/>
        </w:rPr>
        <w:t>Das Transkript nennt 2021 als Start, aber das Ende ist unklar. Samy erwähnt 'nach Juli 2022' als Zeitpunkt des Personalverlusts. Exakten Zeitraum mit Kunden abstimmen.</w:t>
      </w:r>
    </w:p>
    <w:p>
      <w:r>
        <w:rPr>
          <w:rFonts w:ascii="Arial" w:hAnsi="Arial"/>
          <w:b/>
          <w:color w:val="C85000"/>
          <w:sz w:val="22"/>
        </w:rPr>
        <w:t xml:space="preserve">2. ML-Modelldetails bestätigen lassen: </w:t>
      </w:r>
      <w:r>
        <w:rPr>
          <w:rFonts w:ascii="Arial" w:hAnsi="Arial"/>
          <w:sz w:val="22"/>
        </w:rPr>
        <w:t>Samy muss die konkreten ML-Bibliotheken und Verfahren bestätigen (Random Forest, Gradient Boosting, Logistic Regression). Auch Markov-Ketten- und Shapley-Wert-Implementierung verifizieren.</w:t>
      </w:r>
    </w:p>
    <w:p>
      <w:r>
        <w:rPr>
          <w:rFonts w:ascii="Arial" w:hAnsi="Arial"/>
          <w:b/>
          <w:color w:val="C85000"/>
          <w:sz w:val="22"/>
        </w:rPr>
        <w:t xml:space="preserve">3. DOI/Literaturreferenz ergänzen: </w:t>
      </w:r>
      <w:r>
        <w:rPr>
          <w:rFonts w:ascii="Arial" w:hAnsi="Arial"/>
          <w:sz w:val="22"/>
        </w:rPr>
        <w:t>Neuartigkeits-Sektion fehlt eine wissenschaftliche Referenz. DOI zum Thema Lernabbruchprognose im Online-Sprachunterricht würde die Argumentation erheblich stärken.</w:t>
      </w:r>
    </w:p>
    <w:p>
      <w:pPr>
        <w:spacing w:before="240" w:after="120"/>
      </w:pPr>
      <w:r>
        <w:rPr>
          <w:rFonts w:ascii="Arial" w:hAnsi="Arial"/>
          <w:b/>
          <w:sz w:val="24"/>
        </w:rPr>
        <w:t>Forschungsnarrativ</w:t>
      </w:r>
    </w:p>
    <w:p>
      <w:pPr/>
      <w:r>
        <w:t>WISSENSFRAGE: Ist es möglich, dass ML-basierte Klassifikationsverfahren auf rekonstruierten Subskriptionsketten mit starkem Klassenungleichgewicht zuverlässig handlungsrelevante Interventionssignale zur Reduktion von Beteiligungsdrift bei ernsthaften Online-Sprachlernenden erzeugen können?</w:t>
      </w:r>
    </w:p>
    <w:p>
      <w:pPr/>
      <w:r>
        <w:t>WARUM OFFEN: Zum Vorhabenbeginn 2021 existierten keine integrierten Verfahren für diesen Anwendungsfall. Bestehende Lösungen adressierten Gelegenheitslernende. Die benötigten Datenstrukturen existierten nicht.</w:t>
      </w:r>
    </w:p>
    <w:p>
      <w:pPr/>
      <w:r>
        <w:t>UNSICHERHEIT: Es ist unsicher, ob die rekonstruierten Subskriptionsketten die tatsächlichen Lernverläufe valide abbilden und ob ML-Modelle bei 15% Abbruchrate und nichtlinearen Verhaltensmustern präzise genug prognostizieren können. Zusätzlich: Spannungsfeld Modellkomplexität vs. Erklärbarkeit bei der Attribution.</w:t>
      </w:r>
    </w:p>
    <w:p>
      <w:pPr>
        <w:spacing w:before="240" w:after="120"/>
      </w:pPr>
      <w:r>
        <w:rPr>
          <w:rFonts w:ascii="Arial" w:hAnsi="Arial"/>
          <w:b/>
          <w:sz w:val="24"/>
        </w:rPr>
        <w:t>Simulierte Nachforderung</w:t>
      </w:r>
    </w:p>
    <w:p>
      <w:r>
        <w:rPr>
          <w:rFonts w:ascii="Arial" w:hAnsi="Arial"/>
          <w:b/>
        </w:rPr>
        <w:t xml:space="preserve">Frage 1: </w:t>
      </w:r>
      <w:r>
        <w:rPr>
          <w:rFonts w:ascii="Arial" w:hAnsi="Arial"/>
        </w:rPr>
        <w:t>"Abgrenzung zum SdT unzureichend beschrieben."</w:t>
      </w:r>
    </w:p>
    <w:p>
      <w:r>
        <w:rPr>
          <w:rFonts w:ascii="Arial" w:hAnsi="Arial"/>
        </w:rPr>
        <w:t xml:space="preserve">  → Status: ✅ Abgedeckt</w:t>
      </w:r>
    </w:p>
    <w:p>
      <w:r>
        <w:rPr>
          <w:rFonts w:ascii="Arial" w:hAnsi="Arial"/>
          <w:sz w:val="20"/>
        </w:rPr>
        <w:t xml:space="preserve">  → Handlungsempfehlung: Der Antrag benennt Duolingo, Babbel, Busuu, Goethe-Institut, Berlitz mit spezifischen Limitierungen.</w:t>
      </w:r>
    </w:p>
    <w:p>
      <w:r>
        <w:rPr>
          <w:rFonts w:ascii="Arial" w:hAnsi="Arial"/>
          <w:b/>
        </w:rPr>
        <w:t xml:space="preserve">Frage 2: </w:t>
      </w:r>
      <w:r>
        <w:rPr>
          <w:rFonts w:ascii="Arial" w:hAnsi="Arial"/>
        </w:rPr>
        <w:t>"Welcher Verarbeitungsschritt wird durch ML übernommen?"</w:t>
      </w:r>
    </w:p>
    <w:p>
      <w:r>
        <w:rPr>
          <w:rFonts w:ascii="Arial" w:hAnsi="Arial"/>
        </w:rPr>
        <w:t xml:space="preserve">  → Status: ✅ Abgedeckt</w:t>
      </w:r>
    </w:p>
    <w:p>
      <w:r>
        <w:rPr>
          <w:rFonts w:ascii="Arial" w:hAnsi="Arial"/>
          <w:sz w:val="20"/>
        </w:rPr>
        <w:t xml:space="preserve">  → Handlungsempfehlung: Input, Modelle und Output sind konkret benannt.</w:t>
      </w:r>
    </w:p>
    <w:p>
      <w:r>
        <w:rPr>
          <w:rFonts w:ascii="Arial" w:hAnsi="Arial"/>
          <w:b/>
        </w:rPr>
        <w:t xml:space="preserve">Frage 3: </w:t>
      </w:r>
      <w:r>
        <w:rPr>
          <w:rFonts w:ascii="Arial" w:hAnsi="Arial"/>
        </w:rPr>
        <w:t>"Risiken über methodeninhärente Standardrisiken hinaus."</w:t>
      </w:r>
    </w:p>
    <w:p>
      <w:r>
        <w:rPr>
          <w:rFonts w:ascii="Arial" w:hAnsi="Arial"/>
          <w:color w:val="C87800"/>
        </w:rPr>
        <w:t xml:space="preserve">  → Status: ⚠️ Teilweise</w:t>
      </w:r>
    </w:p>
    <w:p>
      <w:r>
        <w:rPr>
          <w:rFonts w:ascii="Arial" w:hAnsi="Arial"/>
          <w:sz w:val="20"/>
        </w:rPr>
        <w:t xml:space="preserve">  → Handlungsempfehlung: Klassenungleichgewicht könnte als methodeninhärent gewertet werden. Empfehlung: Quantifizierten Schwellenwert ergänzen (F1-Score &lt; 0.6).</w:t>
      </w:r>
    </w:p>
    <w:p>
      <w:r>
        <w:rPr>
          <w:rFonts w:ascii="Arial" w:hAnsi="Arial"/>
          <w:b/>
        </w:rPr>
        <w:t xml:space="preserve">Frage 4: </w:t>
      </w:r>
      <w:r>
        <w:rPr>
          <w:rFonts w:ascii="Arial" w:hAnsi="Arial"/>
        </w:rPr>
        <w:t>"Vorhabenziel mit Parametern konkretisieren."</w:t>
      </w:r>
    </w:p>
    <w:p>
      <w:r>
        <w:rPr>
          <w:rFonts w:ascii="Arial" w:hAnsi="Arial"/>
        </w:rPr>
        <w:t xml:space="preserve">  → Status: ✅ Abgedeckt</w:t>
      </w:r>
    </w:p>
    <w:p>
      <w:r>
        <w:rPr>
          <w:rFonts w:ascii="Arial" w:hAnsi="Arial"/>
          <w:sz w:val="20"/>
        </w:rPr>
        <w:t xml:space="preserve">  → Handlungsempfehlung: 40.000 Klassen/Monat, 4 Sprachen, 15% Abbruchrate, 7-Tage-Horizont.</w:t>
      </w:r>
    </w:p>
    <w:p>
      <w:r>
        <w:rPr>
          <w:rFonts w:ascii="Arial" w:hAnsi="Arial"/>
          <w:b/>
        </w:rPr>
        <w:t xml:space="preserve">Frage 5: </w:t>
      </w:r>
      <w:r>
        <w:rPr>
          <w:rFonts w:ascii="Arial" w:hAnsi="Arial"/>
        </w:rPr>
        <w:t>"Eigene Problemlösungsstrategie."</w:t>
      </w:r>
    </w:p>
    <w:p>
      <w:r>
        <w:rPr>
          <w:rFonts w:ascii="Arial" w:hAnsi="Arial"/>
        </w:rPr>
        <w:t xml:space="preserve">  → Status: ✅ Abgedeckt</w:t>
      </w:r>
    </w:p>
    <w:p>
      <w:r>
        <w:rPr>
          <w:rFonts w:ascii="Arial" w:hAnsi="Arial"/>
          <w:sz w:val="20"/>
        </w:rPr>
        <w:t xml:space="preserve">  → Handlungsempfehlung: Feature Engineering, Resampling, Schwellenwertoptimierung + Restrisiko.</w:t>
      </w:r>
    </w:p>
    <w:p>
      <w:r>
        <w:rPr>
          <w:rFonts w:ascii="Arial" w:hAnsi="Arial"/>
          <w:b/>
        </w:rPr>
        <w:t xml:space="preserve">Frage 6: </w:t>
      </w:r>
      <w:r>
        <w:rPr>
          <w:rFonts w:ascii="Arial" w:hAnsi="Arial"/>
        </w:rPr>
        <w:t>"Auftragnehmer-Beiträge zur Wissenslücke."</w:t>
      </w:r>
    </w:p>
    <w:p>
      <w:r>
        <w:rPr>
          <w:rFonts w:ascii="Arial" w:hAnsi="Arial"/>
          <w:color w:val="C87800"/>
        </w:rPr>
        <w:t xml:space="preserve">  → Status: ⚠️ Teilweise</w:t>
      </w:r>
    </w:p>
    <w:p>
      <w:r>
        <w:rPr>
          <w:rFonts w:ascii="Arial" w:hAnsi="Arial"/>
          <w:sz w:val="20"/>
        </w:rPr>
        <w:t xml:space="preserve">  → Handlungsempfehlung: Firma 'Incremental' als Vendor erwähnt. Klären ob Auftragsforschung oder SaaS-Einkauf.</w:t>
      </w:r>
    </w:p>
    <w:p>
      <w:pPr>
        <w:spacing w:before="240" w:after="120"/>
      </w:pPr>
      <w:r>
        <w:rPr>
          <w:rFonts w:ascii="Arial" w:hAnsi="Arial"/>
          <w:b/>
          <w:sz w:val="24"/>
        </w:rPr>
        <w:t>Qualitätsbewertung pro Sektion</w:t>
      </w:r>
    </w:p>
    <w:p>
      <w:pPr>
        <w:spacing w:before="240" w:after="120"/>
      </w:pPr>
      <w:r>
        <w:rPr>
          <w:rFonts w:ascii="Arial" w:hAnsi="Arial"/>
          <w:b/>
          <w:sz w:val="22"/>
        </w:rPr>
        <w:t>Ziel-Sektion</w:t>
      </w:r>
    </w:p>
    <w:p>
      <w:r>
        <w:rPr>
          <w:rFonts w:ascii="Arial" w:hAnsi="Arial"/>
          <w:b/>
        </w:rPr>
        <w:t xml:space="preserve">Stärke: </w:t>
      </w:r>
      <w:r>
        <w:rPr>
          <w:rFonts w:ascii="Arial" w:hAnsi="Arial"/>
        </w:rPr>
        <w:t>Eröffnung in Domänensprache, starke Methodendichte, konkrete Zahlen, ergebnisoffen formuliert.</w:t>
      </w:r>
    </w:p>
    <w:p>
      <w:r>
        <w:rPr>
          <w:rFonts w:ascii="Arial" w:hAnsi="Arial"/>
          <w:b/>
        </w:rPr>
        <w:t xml:space="preserve">BSFZ-Risiko: </w:t>
      </w:r>
      <w:r>
        <w:rPr>
          <w:rFonts w:ascii="Arial" w:hAnsi="Arial"/>
        </w:rPr>
        <w:t>Gutachter könnte fragen, ob ELT-Migration Routine-IT ist.</w:t>
      </w:r>
    </w:p>
    <w:p>
      <w:r>
        <w:rPr>
          <w:rFonts w:ascii="Arial" w:hAnsi="Arial"/>
          <w:b/>
        </w:rPr>
        <w:t xml:space="preserve">Berater prüfen: </w:t>
      </w:r>
      <w:r>
        <w:rPr>
          <w:rFonts w:ascii="Arial" w:hAnsi="Arial"/>
        </w:rPr>
        <w:t>40.000 Klassen/Monat für 2021 validieren.</w:t>
      </w:r>
    </w:p>
    <w:p>
      <w:pPr>
        <w:spacing w:before="240" w:after="120"/>
      </w:pPr>
      <w:r>
        <w:rPr>
          <w:rFonts w:ascii="Arial" w:hAnsi="Arial"/>
          <w:b/>
          <w:sz w:val="22"/>
        </w:rPr>
        <w:t>Neuartigkeits-Sektion</w:t>
      </w:r>
    </w:p>
    <w:p>
      <w:r>
        <w:rPr>
          <w:rFonts w:ascii="Arial" w:hAnsi="Arial"/>
          <w:b/>
        </w:rPr>
        <w:t xml:space="preserve">Stärke: </w:t>
      </w:r>
      <w:r>
        <w:rPr>
          <w:rFonts w:ascii="Arial" w:hAnsi="Arial"/>
        </w:rPr>
        <w:t>Klare Benennung bestehender Lösungen mit Namen, kompakte Bullet-Struktur.</w:t>
      </w:r>
    </w:p>
    <w:p>
      <w:r>
        <w:rPr>
          <w:rFonts w:ascii="Arial" w:hAnsi="Arial"/>
          <w:b/>
        </w:rPr>
        <w:t xml:space="preserve">BSFZ-Risiko: </w:t>
      </w:r>
      <w:r>
        <w:rPr>
          <w:rFonts w:ascii="Arial" w:hAnsi="Arial"/>
        </w:rPr>
        <w:t>Fehlende DOI-Referenz.</w:t>
      </w:r>
    </w:p>
    <w:p>
      <w:r>
        <w:rPr>
          <w:rFonts w:ascii="Arial" w:hAnsi="Arial"/>
          <w:b/>
        </w:rPr>
        <w:t xml:space="preserve">Berater prüfen: </w:t>
      </w:r>
      <w:r>
        <w:rPr>
          <w:rFonts w:ascii="Arial" w:hAnsi="Arial"/>
        </w:rPr>
        <w:t>DOI recherchieren/erfragen.</w:t>
      </w:r>
    </w:p>
    <w:p>
      <w:pPr>
        <w:spacing w:before="240" w:after="120"/>
      </w:pPr>
      <w:r>
        <w:rPr>
          <w:rFonts w:ascii="Arial" w:hAnsi="Arial"/>
          <w:b/>
          <w:sz w:val="22"/>
        </w:rPr>
        <w:t>Arbeiten-Sektion</w:t>
      </w:r>
    </w:p>
    <w:p>
      <w:r>
        <w:rPr>
          <w:rFonts w:ascii="Arial" w:hAnsi="Arial"/>
          <w:b/>
        </w:rPr>
        <w:t xml:space="preserve">Stärke: </w:t>
      </w:r>
      <w:r>
        <w:rPr>
          <w:rFonts w:ascii="Arial" w:hAnsi="Arial"/>
        </w:rPr>
        <w:t>Klarer temporaler Rhythmus, Methoden in jedem Satz, 99.6% Auslastung.</w:t>
      </w:r>
    </w:p>
    <w:p>
      <w:r>
        <w:rPr>
          <w:rFonts w:ascii="Arial" w:hAnsi="Arial"/>
          <w:b/>
        </w:rPr>
        <w:t xml:space="preserve">BSFZ-Risiko: </w:t>
      </w:r>
      <w:r>
        <w:rPr>
          <w:rFonts w:ascii="Arial" w:hAnsi="Arial"/>
        </w:rPr>
        <w:t>Gering.</w:t>
      </w:r>
    </w:p>
    <w:p>
      <w:r>
        <w:rPr>
          <w:rFonts w:ascii="Arial" w:hAnsi="Arial"/>
          <w:b/>
        </w:rPr>
        <w:t xml:space="preserve">Berater prüfen: </w:t>
      </w:r>
      <w:r>
        <w:rPr>
          <w:rFonts w:ascii="Arial" w:hAnsi="Arial"/>
        </w:rPr>
        <w:t>Chronologische Reihenfolge mit Projektverlauf abgleichen.</w:t>
      </w:r>
    </w:p>
    <w:p>
      <w:pPr>
        <w:spacing w:before="240" w:after="120"/>
      </w:pPr>
      <w:r>
        <w:rPr>
          <w:rFonts w:ascii="Arial" w:hAnsi="Arial"/>
          <w:b/>
          <w:sz w:val="22"/>
        </w:rPr>
        <w:t>Risiko-Sektion</w:t>
      </w:r>
    </w:p>
    <w:p>
      <w:r>
        <w:rPr>
          <w:rFonts w:ascii="Arial" w:hAnsi="Arial"/>
          <w:b/>
        </w:rPr>
        <w:t xml:space="preserve">Stärke: </w:t>
      </w:r>
      <w:r>
        <w:rPr>
          <w:rFonts w:ascii="Arial" w:hAnsi="Arial"/>
        </w:rPr>
        <w:t>Zwei getrennte Risikoböcke, Problemlösungsstrategie, Spannungsfeld als Signal.</w:t>
      </w:r>
    </w:p>
    <w:p>
      <w:r>
        <w:rPr>
          <w:rFonts w:ascii="Arial" w:hAnsi="Arial"/>
          <w:b/>
        </w:rPr>
        <w:t xml:space="preserve">BSFZ-Risiko: </w:t>
      </w:r>
      <w:r>
        <w:rPr>
          <w:rFonts w:ascii="Arial" w:hAnsi="Arial"/>
        </w:rPr>
        <w:t>Klassenungleichgewicht könnte als methodeninhärent gewertet werden.</w:t>
      </w:r>
    </w:p>
    <w:p>
      <w:r>
        <w:rPr>
          <w:rFonts w:ascii="Arial" w:hAnsi="Arial"/>
          <w:b/>
        </w:rPr>
        <w:t xml:space="preserve">Berater prüfen: </w:t>
      </w:r>
      <w:r>
        <w:rPr>
          <w:rFonts w:ascii="Arial" w:hAnsi="Arial"/>
        </w:rPr>
        <w:t>Quantifizierten Schwellenwert ergänzen.</w:t>
      </w:r>
    </w:p>
    <w:p>
      <w:pPr>
        <w:spacing w:before="240" w:after="120"/>
      </w:pPr>
      <w:r>
        <w:rPr>
          <w:rFonts w:ascii="Arial" w:hAnsi="Arial"/>
          <w:b/>
          <w:sz w:val="24"/>
        </w:rPr>
        <w:t>Offene Annahmen</w:t>
      </w:r>
    </w:p>
    <w:p>
      <w:r>
        <w:rPr>
          <w:rFonts w:ascii="Arial" w:hAnsi="Arial"/>
          <w:sz w:val="20"/>
        </w:rPr>
        <w:t>☐ Vorhabenzeitraum Jan 2021 – Jul 2022 — betrifft: Alle Sektionen</w:t>
      </w:r>
    </w:p>
    <w:p>
      <w:r>
        <w:rPr>
          <w:rFonts w:ascii="Arial" w:hAnsi="Arial"/>
          <w:sz w:val="20"/>
        </w:rPr>
        <w:t>☐ ML-Verfahren (Random Forest, Gradient Boosting, Log. Regression) korrekt — betrifft: Ziel, Arbeiten, Risiko</w:t>
      </w:r>
    </w:p>
    <w:p>
      <w:r>
        <w:rPr>
          <w:rFonts w:ascii="Arial" w:hAnsi="Arial"/>
          <w:sz w:val="20"/>
        </w:rPr>
        <w:t>☐ Markov-Ketten &amp; Shapley-Wert tatsächlich implementiert — betrifft: Ziel, Neuartigkeit, Risiko</w:t>
      </w:r>
    </w:p>
    <w:p>
      <w:r>
        <w:rPr>
          <w:rFonts w:ascii="Arial" w:hAnsi="Arial"/>
          <w:sz w:val="20"/>
        </w:rPr>
        <w:t>☐ 40.000 Klassen/Monat zum Vorhabenbeginn 2021 korrekt — betrifft: Ziel</w:t>
      </w:r>
    </w:p>
    <w:p>
      <w:r>
        <w:rPr>
          <w:rFonts w:ascii="Arial" w:hAnsi="Arial"/>
          <w:sz w:val="20"/>
        </w:rPr>
        <w:t>☐ Keine weiteren externen Auftragnehmer außer ggf. Incremental — betrifft: Auftragsforschung</w:t>
      </w:r>
    </w:p>
    <w:p>
      <w:r>
        <w:rPr>
          <w:rFonts w:ascii="Arial" w:hAnsi="Arial"/>
          <w:sz w:val="20"/>
        </w:rPr>
        <w:t>☐ Nudging-Framework und Mobile App prototypisch umgesetzt — betrifft: AP5</w:t>
      </w:r>
    </w:p>
    <w:p>
      <w:pPr>
        <w:spacing w:before="240" w:after="120"/>
      </w:pPr>
      <w:r>
        <w:rPr>
          <w:rFonts w:ascii="Arial" w:hAnsi="Arial"/>
          <w:b/>
          <w:sz w:val="24"/>
        </w:rPr>
        <w:t>Zeichenauslastung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Arial" w:hAnsi="Arial"/>
                <w:b/>
                <w:sz w:val="20"/>
              </w:rPr>
              <w:t>Sektion</w:t>
            </w:r>
          </w:p>
        </w:tc>
        <w:tc>
          <w:tcPr>
            <w:tcW w:type="dxa" w:w="2351"/>
          </w:tcPr>
          <w:p>
            <w:r>
              <w:rPr>
                <w:rFonts w:ascii="Arial" w:hAnsi="Arial"/>
                <w:b/>
                <w:sz w:val="20"/>
              </w:rPr>
              <w:t>Zeichen</w:t>
            </w:r>
          </w:p>
        </w:tc>
        <w:tc>
          <w:tcPr>
            <w:tcW w:type="dxa" w:w="2351"/>
          </w:tcPr>
          <w:p>
            <w:r>
              <w:rPr>
                <w:rFonts w:ascii="Arial" w:hAnsi="Arial"/>
                <w:b/>
                <w:sz w:val="20"/>
              </w:rPr>
              <w:t>Limit</w:t>
            </w:r>
          </w:p>
        </w:tc>
        <w:tc>
          <w:tcPr>
            <w:tcW w:type="dxa" w:w="2351"/>
          </w:tcPr>
          <w:p>
            <w:r>
              <w:rPr>
                <w:rFonts w:ascii="Arial" w:hAnsi="Arial"/>
                <w:b/>
                <w:sz w:val="20"/>
              </w:rPr>
              <w:t>Auslastung</w:t>
            </w:r>
          </w:p>
        </w:tc>
      </w:tr>
      <w:tr>
        <w:tc>
          <w:tcPr>
            <w:tcW w:type="dxa" w:w="2351"/>
          </w:tcPr>
          <w:p>
            <w:r>
              <w:rPr>
                <w:rFonts w:ascii="Arial" w:hAnsi="Arial"/>
                <w:sz w:val="20"/>
              </w:rPr>
              <w:t>Titel</w:t>
            </w:r>
          </w:p>
        </w:tc>
        <w:tc>
          <w:tcPr>
            <w:tcW w:type="dxa" w:w="2351"/>
          </w:tcPr>
          <w:p>
            <w:r>
              <w:rPr>
                <w:rFonts w:ascii="Arial" w:hAnsi="Arial"/>
                <w:sz w:val="20"/>
              </w:rPr>
              <w:t>122</w:t>
            </w:r>
          </w:p>
        </w:tc>
        <w:tc>
          <w:tcPr>
            <w:tcW w:type="dxa" w:w="2351"/>
          </w:tcPr>
          <w:p>
            <w:r>
              <w:rPr>
                <w:rFonts w:ascii="Arial" w:hAnsi="Arial"/>
                <w:sz w:val="20"/>
              </w:rPr>
              <w:t>150</w:t>
            </w:r>
          </w:p>
        </w:tc>
        <w:tc>
          <w:tcPr>
            <w:tcW w:type="dxa" w:w="2351"/>
          </w:tcPr>
          <w:p>
            <w:r>
              <w:rPr>
                <w:rFonts w:ascii="Arial" w:hAnsi="Arial"/>
                <w:sz w:val="20"/>
              </w:rPr>
              <w:t>81.3%</w:t>
            </w:r>
          </w:p>
        </w:tc>
      </w:tr>
      <w:tr>
        <w:tc>
          <w:tcPr>
            <w:tcW w:type="dxa" w:w="2351"/>
          </w:tcPr>
          <w:p>
            <w:r>
              <w:rPr>
                <w:rFonts w:ascii="Arial" w:hAnsi="Arial"/>
                <w:sz w:val="20"/>
              </w:rPr>
              <w:t>Ziel</w:t>
            </w:r>
          </w:p>
        </w:tc>
        <w:tc>
          <w:tcPr>
            <w:tcW w:type="dxa" w:w="2351"/>
          </w:tcPr>
          <w:p>
            <w:r>
              <w:rPr>
                <w:rFonts w:ascii="Arial" w:hAnsi="Arial"/>
                <w:sz w:val="20"/>
              </w:rPr>
              <w:t>1.472</w:t>
            </w:r>
          </w:p>
        </w:tc>
        <w:tc>
          <w:tcPr>
            <w:tcW w:type="dxa" w:w="2351"/>
          </w:tcPr>
          <w:p>
            <w:r>
              <w:rPr>
                <w:rFonts w:ascii="Arial" w:hAnsi="Arial"/>
                <w:sz w:val="20"/>
              </w:rPr>
              <w:t>1.500</w:t>
            </w:r>
          </w:p>
        </w:tc>
        <w:tc>
          <w:tcPr>
            <w:tcW w:type="dxa" w:w="2351"/>
          </w:tcPr>
          <w:p>
            <w:r>
              <w:rPr>
                <w:rFonts w:ascii="Arial" w:hAnsi="Arial"/>
                <w:sz w:val="20"/>
              </w:rPr>
              <w:t>98.1%</w:t>
            </w:r>
          </w:p>
        </w:tc>
      </w:tr>
      <w:tr>
        <w:tc>
          <w:tcPr>
            <w:tcW w:type="dxa" w:w="2351"/>
          </w:tcPr>
          <w:p>
            <w:r>
              <w:rPr>
                <w:rFonts w:ascii="Arial" w:hAnsi="Arial"/>
                <w:sz w:val="20"/>
              </w:rPr>
              <w:t>Neuartigkeit</w:t>
            </w:r>
          </w:p>
        </w:tc>
        <w:tc>
          <w:tcPr>
            <w:tcW w:type="dxa" w:w="2351"/>
          </w:tcPr>
          <w:p>
            <w:r>
              <w:rPr>
                <w:rFonts w:ascii="Arial" w:hAnsi="Arial"/>
                <w:sz w:val="20"/>
              </w:rPr>
              <w:t>494</w:t>
            </w:r>
          </w:p>
        </w:tc>
        <w:tc>
          <w:tcPr>
            <w:tcW w:type="dxa" w:w="2351"/>
          </w:tcPr>
          <w:p>
            <w:r>
              <w:rPr>
                <w:rFonts w:ascii="Arial" w:hAnsi="Arial"/>
                <w:sz w:val="20"/>
              </w:rPr>
              <w:t>500</w:t>
            </w:r>
          </w:p>
        </w:tc>
        <w:tc>
          <w:tcPr>
            <w:tcW w:type="dxa" w:w="2351"/>
          </w:tcPr>
          <w:p>
            <w:r>
              <w:rPr>
                <w:rFonts w:ascii="Arial" w:hAnsi="Arial"/>
                <w:sz w:val="20"/>
              </w:rPr>
              <w:t>98.8%</w:t>
            </w:r>
          </w:p>
        </w:tc>
      </w:tr>
      <w:tr>
        <w:tc>
          <w:tcPr>
            <w:tcW w:type="dxa" w:w="2351"/>
          </w:tcPr>
          <w:p>
            <w:r>
              <w:rPr>
                <w:rFonts w:ascii="Arial" w:hAnsi="Arial"/>
                <w:sz w:val="20"/>
              </w:rPr>
              <w:t>Arbeiten</w:t>
            </w:r>
          </w:p>
        </w:tc>
        <w:tc>
          <w:tcPr>
            <w:tcW w:type="dxa" w:w="2351"/>
          </w:tcPr>
          <w:p>
            <w:r>
              <w:rPr>
                <w:rFonts w:ascii="Arial" w:hAnsi="Arial"/>
                <w:sz w:val="20"/>
              </w:rPr>
              <w:t>996</w:t>
            </w:r>
          </w:p>
        </w:tc>
        <w:tc>
          <w:tcPr>
            <w:tcW w:type="dxa" w:w="2351"/>
          </w:tcPr>
          <w:p>
            <w:r>
              <w:rPr>
                <w:rFonts w:ascii="Arial" w:hAnsi="Arial"/>
                <w:sz w:val="20"/>
              </w:rPr>
              <w:t>1.000</w:t>
            </w:r>
          </w:p>
        </w:tc>
        <w:tc>
          <w:tcPr>
            <w:tcW w:type="dxa" w:w="2351"/>
          </w:tcPr>
          <w:p>
            <w:r>
              <w:rPr>
                <w:rFonts w:ascii="Arial" w:hAnsi="Arial"/>
                <w:sz w:val="20"/>
              </w:rPr>
              <w:t>99.6%</w:t>
            </w:r>
          </w:p>
        </w:tc>
      </w:tr>
      <w:tr>
        <w:tc>
          <w:tcPr>
            <w:tcW w:type="dxa" w:w="2351"/>
          </w:tcPr>
          <w:p>
            <w:r>
              <w:rPr>
                <w:rFonts w:ascii="Arial" w:hAnsi="Arial"/>
                <w:sz w:val="20"/>
              </w:rPr>
              <w:t>Risiko</w:t>
            </w:r>
          </w:p>
        </w:tc>
        <w:tc>
          <w:tcPr>
            <w:tcW w:type="dxa" w:w="2351"/>
          </w:tcPr>
          <w:p>
            <w:r>
              <w:rPr>
                <w:rFonts w:ascii="Arial" w:hAnsi="Arial"/>
                <w:sz w:val="20"/>
              </w:rPr>
              <w:t>982</w:t>
            </w:r>
          </w:p>
        </w:tc>
        <w:tc>
          <w:tcPr>
            <w:tcW w:type="dxa" w:w="2351"/>
          </w:tcPr>
          <w:p>
            <w:r>
              <w:rPr>
                <w:rFonts w:ascii="Arial" w:hAnsi="Arial"/>
                <w:sz w:val="20"/>
              </w:rPr>
              <w:t>1.000</w:t>
            </w:r>
          </w:p>
        </w:tc>
        <w:tc>
          <w:tcPr>
            <w:tcW w:type="dxa" w:w="2351"/>
          </w:tcPr>
          <w:p>
            <w:r>
              <w:rPr>
                <w:rFonts w:ascii="Arial" w:hAnsi="Arial"/>
                <w:sz w:val="20"/>
              </w:rPr>
              <w:t>98.2%</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