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정보보호규정</w:t>
      </w:r>
    </w:p>
    <w:p>
      <w:r>
        <w:t>문서번호: HB-SEC-001</w:t>
      </w:r>
    </w:p>
    <w:p>
      <w:r>
        <w:t>보안등급: 대외비</w:t>
      </w:r>
    </w:p>
    <w:p>
      <w:r>
        <w:t>시행일: 2026-04-01</w:t>
      </w:r>
    </w:p>
    <w:p>
      <w:r>
        <w:t>개정차수: 4</w:t>
      </w:r>
    </w:p>
    <w:p>
      <w:pPr>
        <w:pStyle w:val="Heading2"/>
      </w:pPr>
      <w:r>
        <w:t>제1조(목적)</w:t>
      </w:r>
    </w:p>
    <w:p>
      <w:r>
        <w:t>이 규정은 한빛시장정보(주)(이하 "회사"라 한다)가 보유한 정보자산을 도난, 유출, 위조, 훼손으로부터 보호하기 위하여 필요한 조직, 기준, 절차를 정함을 목적으로 한다.</w:t>
      </w:r>
    </w:p>
    <w:p>
      <w:pPr>
        <w:pStyle w:val="Heading2"/>
      </w:pPr>
      <w:r>
        <w:t>제2조(정의)</w:t>
      </w:r>
    </w:p>
    <w:p>
      <w:r>
        <w:t>이 규정에서 사용하는 용어의 뜻은 다음과 같다.</w:t>
      </w:r>
    </w:p>
    <w:p>
      <w:r>
        <w:t>1. "정보자산"이란 회사의 업무에 사용되는 정보, 시스템, 네트워크, 문서, 저장매체를 말한다.</w:t>
      </w:r>
    </w:p>
    <w:p>
      <w:r>
        <w:t>2. "정보보호최고책임자"란 회사의 정보보호 업무를 총괄하는 임원을 말한다.</w:t>
      </w:r>
    </w:p>
    <w:p>
      <w:r>
        <w:t>3. "이용자"란 회사의 정보자산에 접근하는 임직원과 외부 협력업체 직원을 말한다.</w:t>
      </w:r>
    </w:p>
    <w:p>
      <w:r>
        <w:t>4. "관리자 계정"이란 시스템의 설정을 변경할 수 있는 권한을 가진 계정을 말한다.</w:t>
      </w:r>
    </w:p>
    <w:p>
      <w:r>
        <w:t>5. "보안 사고"란 정보자산의 기밀성, 무결성, 가용성을 침해하거나 침해할 우려가 있는 사건을 말한다.</w:t>
      </w:r>
    </w:p>
    <w:p>
      <w:pPr>
        <w:pStyle w:val="Heading2"/>
      </w:pPr>
      <w:r>
        <w:t>제3조(적용 범위)</w:t>
      </w:r>
    </w:p>
    <w:p>
      <w:r>
        <w:t>① 이 규정은 회사의 모든 임직원과 회사의 정보자산에 접근하는 외부 협력업체 직원에게 적용한다.</w:t>
      </w:r>
    </w:p>
    <w:p>
      <w:r>
        <w:t>② 외부 협력업체와 계약을 체결할 때에는 이 규정의 준수 의무를 계약서에 포함한다.</w:t>
      </w:r>
    </w:p>
    <w:p>
      <w:r>
        <w:t>③ 이 규정에서 정하지 아니한 사항은 정보보호 담당 부서가 별도로 정하는 세부 기준에 따른다.</w:t>
      </w:r>
    </w:p>
    <w:p>
      <w:r>
        <w:t>④ 관계 법령이 이 규정보다 엄격한 기준을 정한 경우에는 그 법령을 따른다.</w:t>
      </w:r>
    </w:p>
    <w:p>
      <w:pPr>
        <w:pStyle w:val="Heading2"/>
      </w:pPr>
      <w:r>
        <w:t>제4조(정보보호 조직)</w:t>
      </w:r>
    </w:p>
    <w:p>
      <w:r>
        <w:t>① 정보보호최고책임자는 정보보호 정책의 수립과 이행 점검을 총괄하고, 그 결과를 대표이사에게 반기마다 보고한다.</w:t>
      </w:r>
    </w:p>
    <w:p>
      <w:r>
        <w:t>⑤ 정보보호 담당 부서는 매년 초 정보보호 연간 계획을 수립하여 정보보호최고책임자의 승인을 받는다.</w:t>
      </w:r>
    </w:p>
    <w:p>
      <w:r>
        <w:t>② 정보보호 담당 부서는 이 규정의 운영, 보안 점검, 보안 교육, 사고 대응 지원을 맡는다.</w:t>
      </w:r>
    </w:p>
    <w:p>
      <w:r>
        <w:t>③ 각 부서의 장은 소속 부서의 정보보호 이행에 책임을 지며, 부서별 정보보호 담당자를 지정하여 정보보호 담당 부서에 통보한다.</w:t>
      </w:r>
    </w:p>
    <w:p>
      <w:r>
        <w:t>④ 정보보호 담당자가 변경되면 변경일부터 7일 이내에 다시 통보한다.</w:t>
      </w:r>
    </w:p>
    <w:p>
      <w:pPr>
        <w:pStyle w:val="Heading2"/>
      </w:pPr>
      <w:r>
        <w:t>제5조(정보자산의 분류)</w:t>
      </w:r>
    </w:p>
    <w:p>
      <w:r>
        <w:t>① 정보자산은 중요도에 따라 일반, 대외비, 비밀의 세 등급으로 분류한다.</w:t>
      </w:r>
    </w:p>
    <w:p>
      <w:r>
        <w:t>② 정보자산의 등급은 해당 자산을 생성하거나 취득한 부서의 장이 정하고, 정보보호 담당 부서가 그 적정성을 확인한다.</w:t>
      </w:r>
    </w:p>
    <w:p>
      <w:r>
        <w:t>③ 등급이 정해진 자산에는 등급 표시를 하며, 표시가 없는 자산은 대외비로 취급한다.</w:t>
      </w:r>
    </w:p>
    <w:p>
      <w:r>
        <w:t>④ 정보자산의 등급은 연 1회 이상 재검토하며, 중요도가 달라진 경우에는 등급을 조정한다.</w:t>
      </w:r>
    </w:p>
    <w:p>
      <w:r>
        <w:t>⑤ 비밀 등급 자산의 사본을 만들려는 경우에는 자산을 생성한 부서의 장의 승인을 받고 사본의 수를 기록한다.</w:t>
      </w:r>
    </w:p>
    <w:p>
      <w:pPr>
        <w:pStyle w:val="Heading2"/>
      </w:pPr>
      <w:r>
        <w:t>제6조(접근 통제)</w:t>
      </w:r>
    </w:p>
    <w:p>
      <w:r>
        <w:t>① 정보자산에 대한 접근 권한은 업무 수행에 필요한 최소한의 범위에서 부여한다.</w:t>
      </w:r>
    </w:p>
    <w:p>
      <w:r>
        <w:t>② 접근 권한의 부여, 변경, 회수는 소속 부서의 장이 신청하고 정보보호 담당 부서가 승인한다.</w:t>
      </w:r>
    </w:p>
    <w:p>
      <w:r>
        <w:t>③ 부서를 옮기거나 업무가 바뀐 이용자의 권한은 이동일에 조정하고, 퇴직자의 권한은 퇴직일 당일에 회수한다.</w:t>
      </w:r>
    </w:p>
    <w:p>
      <w:r>
        <w:t>④ 외부 협력업체 직원에게는 계약 기간을 넘지 않는 범위에서 권한을 부여하며, 계약이 끝나면 즉시 회수한다.</w:t>
      </w:r>
    </w:p>
    <w:p>
      <w:r>
        <w:t>⑤ 부여된 권한은 반기마다 소속 부서의 장이 적정한지 확인하며, 확인 결과를 정보보호 담당 부서에 제출한다.</w:t>
      </w:r>
    </w:p>
    <w:p>
      <w:pPr>
        <w:pStyle w:val="Heading2"/>
      </w:pPr>
      <w:r>
        <w:t>제7조(계정 관리)</w:t>
      </w:r>
    </w:p>
    <w:p>
      <w:r>
        <w:t>① 모든 이용자는 개인별로 부여된 계정을 사용하며, 계정을 다른 사람과 공유하여서는 아니 된다.</w:t>
      </w:r>
    </w:p>
    <w:p>
      <w:r>
        <w:t>② 관리자 계정은 정보보호최고책임자의 승인을 받은 담당자에게만 발급하고, 사용 내역은 정보보호 담당 부서가 확인한다.</w:t>
      </w:r>
    </w:p>
    <w:p>
      <w:r>
        <w:t>③ 6개월 이상 사용하지 않은 계정은 정보보호 담당 부서가 이용자에게 알린 뒤 잠금 처리한다.</w:t>
      </w:r>
    </w:p>
    <w:p>
      <w:r>
        <w:t>④ 로그인에 연속으로 3회 실패한 계정은 자동으로 잠기며, 잠금 해제는 본인 확인 후 정보보호 담당 부서가 처리한다.</w:t>
      </w:r>
    </w:p>
    <w:p>
      <w:r>
        <w:t>⑤ 정보보호 담당 부서는 휴직이나 장기 부재 중인 이용자의 계정을 부재 기간 동안 사용하지 못하도록 조치한다.</w:t>
      </w:r>
    </w:p>
    <w:p>
      <w:pPr>
        <w:pStyle w:val="Heading2"/>
      </w:pPr>
      <w:r>
        <w:t>제8조(사용자 인증)</w:t>
      </w:r>
    </w:p>
    <w:p>
      <w:r>
        <w:t>① 회사의 시스템에 접속하는 이용자는 계정과 비밀번호로 본인을 인증하며, 외부에서 접속하는 경우에는 추가 인증 수단을 함께 사용한다.</w:t>
      </w:r>
    </w:p>
    <w:p>
      <w:r>
        <w:t>② 비밀번호는 영문 대문자, 소문자, 숫자, 특수문자 중 세 가지 이상을 조합하여 10자리 이상으로 설정한다.</w:t>
      </w:r>
    </w:p>
    <w:p>
      <w:r>
        <w:t>③ 이용자는 비밀번호를 타인에게 알려주거나 문서, 모니터 주변 등 노출되기 쉬운 곳에 적어 두어서는 아니 된다.</w:t>
      </w:r>
    </w:p>
    <w:p>
      <w:r>
        <w:t>④ 초기 비밀번호는 최초 접속 시 즉시 변경하여야 한다.</w:t>
      </w:r>
    </w:p>
    <w:p>
      <w:r>
        <w:t>⑤ 비밀번호를 분실한 이용자는 본인 확인 절차를 거쳐 정보보호 담당 부서에서 초기화를 받을 수 있다.</w:t>
      </w:r>
    </w:p>
    <w:p>
      <w:pPr>
        <w:pStyle w:val="Heading2"/>
      </w:pPr>
      <w:r>
        <w:t>제9조(개인정보 암호화)</w:t>
      </w:r>
    </w:p>
    <w:p>
      <w:r>
        <w:t>① 개인정보는 저장 시 암호화한다.</w:t>
      </w:r>
    </w:p>
    <w:p>
      <w:r>
        <w:t>② 개인정보를 네트워크로 전송하는 경우에는 암호화된 통신 방식을 사용한다.</w:t>
      </w:r>
    </w:p>
    <w:p>
      <w:r>
        <w:t>③ 암호화에 사용하는 키는 정보보호 담당 부서가 관리하며, 키를 변경하거나 폐기할 때에는 그 기록을 남긴다.</w:t>
      </w:r>
    </w:p>
    <w:p>
      <w:r>
        <w:t>④ 암호화 적용 여부는 정보보호 담당 부서가 반기마다 점검한다.</w:t>
      </w:r>
    </w:p>
    <w:p>
      <w:pPr>
        <w:pStyle w:val="Heading2"/>
      </w:pPr>
      <w:r>
        <w:t>제10조(단말과 저장매체 보안)</w:t>
      </w:r>
    </w:p>
    <w:p>
      <w:r>
        <w:t>① 업무용 단말에는 회사가 승인한 보안 프로그램을 설치하고, 이용자가 임의로 삭제하거나 중지하여서는 아니 된다.</w:t>
      </w:r>
    </w:p>
    <w:p>
      <w:r>
        <w:t>② 업무용 단말은 15분 동안 입력이 없으면 화면이 잠기도록 설정한다.</w:t>
      </w:r>
    </w:p>
    <w:p>
      <w:r>
        <w:t>③ 이동식 저장매체의 사용은 정보보호 담당 부서의 사전 승인을 받은 경우에 한하며, 사용 내역을 기록한다.</w:t>
      </w:r>
    </w:p>
    <w:p>
      <w:r>
        <w:t>④ 단말이나 저장매체를 폐기하거나 반납할 때에는 저장된 정보를 복구할 수 없도록 완전히 삭제한다.</w:t>
      </w:r>
    </w:p>
    <w:p>
      <w:r>
        <w:t>⑤ 분실하거나 도난당한 단말은 이용자가 즉시 정보보호 담당 부서에 신고하여야 하며, 정보보호 담당 부서는 원격 잠금 또는 삭제 조치를 한다.</w:t>
      </w:r>
    </w:p>
    <w:p>
      <w:pPr>
        <w:pStyle w:val="Heading2"/>
      </w:pPr>
      <w:r>
        <w:t>제11조(비밀번호 변경 주기)</w:t>
      </w:r>
    </w:p>
    <w:p>
      <w:r>
        <w:t>① 이용자는 비밀번호를 60일마다 변경하여야 한다. 최근 5회 이내 사용한 비밀번호는 다시 사용할 수 없다.</w:t>
      </w:r>
    </w:p>
    <w:p>
      <w:r>
        <w:t>② 비밀번호 변경 기간이 지난 계정은 변경이 끝날 때까지 접속을 제한할 수 있다.</w:t>
      </w:r>
    </w:p>
    <w:p>
      <w:r>
        <w:t>③ 시스템 관리 업무에 사용하는 계정의 비밀번호는 정보보호 담당 부서가 변경 이행 여부를 별도로 확인한다.</w:t>
      </w:r>
    </w:p>
    <w:p>
      <w:pPr>
        <w:pStyle w:val="Heading2"/>
      </w:pPr>
      <w:r>
        <w:t>제12조(접속 기록의 관리)</w:t>
      </w:r>
    </w:p>
    <w:p>
      <w:r>
        <w:t>① 정보보호 담당 부서는 주요 시스템의 접속 기록과 관리자 작업 기록을 생성하여 보관한다.</w:t>
      </w:r>
    </w:p>
    <w:p>
      <w:r>
        <w:t>② 접속 기록은 변조되지 않도록 별도의 저장 공간에 보관하며, 보관 기간은 1년으로 한다.</w:t>
      </w:r>
    </w:p>
    <w:p>
      <w:r>
        <w:t>③ 정보보호 담당 부서는 접속 기록을 분기마다 점검하여 비정상적인 접근이 있는지 확인한다.</w:t>
      </w:r>
    </w:p>
    <w:p>
      <w:r>
        <w:t>④ 접속 기록의 열람은 정보보호 담당 부서의 직원으로 제한하고, 열람 사실도 기록한다.</w:t>
      </w:r>
    </w:p>
    <w:p>
      <w:pPr>
        <w:pStyle w:val="Heading2"/>
      </w:pPr>
      <w:r>
        <w:t>제13조(보안 사고 보고)</w:t>
      </w:r>
    </w:p>
    <w:p>
      <w:r>
        <w:t>① 이용자는 보안 사고를 발견하거나 의심되는 경우 즉시 소속 부서의 장과 정보보호 담당 부서에 알려야 한다.</w:t>
      </w:r>
    </w:p>
    <w:p>
      <w:r>
        <w:t>② 정보보호 담당 부서는 사고 접수 후 2시간 이내에 사고의 범위와 원인을 확인하여 정보보호최고책임자에게 보고한다.</w:t>
      </w:r>
    </w:p>
    <w:p>
      <w:r>
        <w:t>③ 정보보호최고책임자는 사고의 중대성을 판단하여 대표이사에게 보고하고 필요한 경우 관계 기관에 신고한다.</w:t>
      </w:r>
    </w:p>
    <w:p>
      <w:r>
        <w:t>④ 사고가 수습된 뒤에는 재발 방지 대책을 수립하여 이행한다.</w:t>
      </w:r>
    </w:p>
    <w:p>
      <w:r>
        <w:t>⑤ 보안 사고의 처리 경과와 결과는 정보보호 담당 부서가 사고 대장에 기록하여 관리한다.</w:t>
      </w:r>
    </w:p>
    <w:p>
      <w:pPr>
        <w:pStyle w:val="Heading2"/>
      </w:pPr>
      <w:r>
        <w:t>제14조(API 키 관리)</w:t>
      </w:r>
    </w:p>
    <w:p>
      <w:r>
        <w:t>① API 키는 키 관리 시스템 "KMS-2"에 보관하며, 소스코드 저장을 금지한다.</w:t>
      </w:r>
    </w:p>
    <w:p>
      <w:r>
        <w:t>② API 키의 발급과 폐기는 정보보호 담당 부서의 승인을 받아 시행한다.</w:t>
      </w:r>
    </w:p>
    <w:p>
      <w:r>
        <w:t>③ API 키가 노출되었거나 노출이 의심되는 경우에는 즉시 폐기하고 새 키를 발급한다.</w:t>
      </w:r>
    </w:p>
    <w:p>
      <w:r>
        <w:t>④ 정보보호 담당 부서는 소스코드 저장소에 API 키가 포함되어 있는지 분기마다 점검한다.</w:t>
      </w:r>
    </w:p>
    <w:p>
      <w:pPr>
        <w:pStyle w:val="Heading2"/>
      </w:pPr>
      <w:r>
        <w:t>부칙</w:t>
      </w:r>
    </w:p>
    <w:p>
      <w:r>
        <w:t>이 규정은 2026-04-01부터 시행한다. 제11조의 개정 내용: 비밀번호 변경 주기를 90일에서 60일로 단축하고, 최근 5회 이내 사용한 비밀번호의 재사용을 금지한다.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