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백업및복구기준 폐지 공고</w:t>
      </w:r>
    </w:p>
    <w:p>
      <w:r>
        <w:t>문서번호: HB-OPS-102</w:t>
      </w:r>
    </w:p>
    <w:p>
      <w:r>
        <w:t>보안등급: 대외비</w:t>
      </w:r>
    </w:p>
    <w:p>
      <w:r>
        <w:t>시행일: 2026-10-26</w:t>
      </w:r>
    </w:p>
    <w:p>
      <w:r>
        <w:t>개정차수: 1</w:t>
      </w:r>
    </w:p>
    <w:p>
      <w:pPr>
        <w:pStyle w:val="Heading2"/>
      </w:pPr>
      <w:r>
        <w:t>제1조(폐지)</w:t>
      </w:r>
    </w:p>
    <w:p>
      <w:r>
        <w:t>「백업및복구기준」(HB-OPS-102)을 이 공고의 시행일부터 폐지한다.</w:t>
      </w:r>
    </w:p>
    <w:p>
      <w:pPr>
        <w:pStyle w:val="Heading2"/>
      </w:pPr>
      <w:r>
        <w:t>제2조(내용의 통합)</w:t>
      </w:r>
    </w:p>
    <w:p>
      <w:r>
        <w:t>폐지되는 「백업및복구기준」의 내용은 「업무연속성계획」에 통합하여 운영한다.</w:t>
      </w:r>
    </w:p>
    <w:p>
      <w:r>
        <w:t>통합에 따른 세부 사항은 운영본부가 정하며, 이 공고의 시행 전에 이루어진 백업과 복구는 종전의 기준에 따른다.</w:t>
      </w:r>
    </w:p>
    <w:p>
      <w:pPr>
        <w:pStyle w:val="Heading2"/>
      </w:pPr>
      <w:r>
        <w:t>부칙</w:t>
      </w:r>
    </w:p>
    <w:p>
      <w:r>
        <w:t>이 공고는 2026-10-26부터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