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6C718" w14:textId="77777777" w:rsidR="00407EA0" w:rsidRDefault="00000000">
      <w:pPr>
        <w:pStyle w:val="Title"/>
      </w:pPr>
      <w:r>
        <w:t xml:space="preserve">Bayesian Integration of </w:t>
      </w:r>
      <w:proofErr w:type="spellStart"/>
      <w:r>
        <w:t>Astrochronology</w:t>
      </w:r>
      <w:proofErr w:type="spellEnd"/>
      <w:r>
        <w:t xml:space="preserve"> and Radioisotope Geochronology</w:t>
      </w:r>
    </w:p>
    <w:p w14:paraId="6E831124" w14:textId="368D712F" w:rsidR="00407EA0" w:rsidRDefault="00C300B6" w:rsidP="00C300B6">
      <w:pPr>
        <w:pStyle w:val="Author"/>
      </w:pPr>
      <w:r w:rsidRPr="00C300B6">
        <w:rPr>
          <w:vertAlign w:val="superscript"/>
        </w:rPr>
        <w:t>1</w:t>
      </w:r>
      <w:r>
        <w:rPr>
          <w:vertAlign w:val="superscript"/>
        </w:rPr>
        <w:t>,</w:t>
      </w:r>
      <w:proofErr w:type="gramStart"/>
      <w:r>
        <w:rPr>
          <w:vertAlign w:val="superscript"/>
        </w:rPr>
        <w:t>2,*</w:t>
      </w:r>
      <w:proofErr w:type="gramEnd"/>
      <w:r w:rsidR="00000000">
        <w:t>Robin B. Trayler</w:t>
      </w:r>
      <w:r>
        <w:t xml:space="preserve">, </w:t>
      </w:r>
      <w:r w:rsidRPr="00C300B6">
        <w:rPr>
          <w:vertAlign w:val="superscript"/>
        </w:rPr>
        <w:t>3</w:t>
      </w:r>
      <w:r w:rsidR="00000000">
        <w:t>Stephen R. Meyers</w:t>
      </w:r>
      <w:r>
        <w:t xml:space="preserve">, </w:t>
      </w:r>
      <w:r w:rsidRPr="00C300B6">
        <w:rPr>
          <w:vertAlign w:val="superscript"/>
        </w:rPr>
        <w:t>2</w:t>
      </w:r>
      <w:r w:rsidR="00000000">
        <w:t>Mark D. Schmitz</w:t>
      </w:r>
    </w:p>
    <w:p w14:paraId="3535737C" w14:textId="77777777" w:rsidR="00407EA0" w:rsidRDefault="00000000" w:rsidP="00C300B6">
      <w:pPr>
        <w:pStyle w:val="Compact"/>
        <w:ind w:firstLine="0"/>
      </w:pPr>
      <w:r w:rsidRPr="00C300B6">
        <w:rPr>
          <w:vertAlign w:val="superscript"/>
        </w:rPr>
        <w:t>1</w:t>
      </w:r>
      <w:r>
        <w:t>Department of Life and Environmental Sciences, University of California, Merced, CA</w:t>
      </w:r>
    </w:p>
    <w:p w14:paraId="5E9C3AFB" w14:textId="77777777" w:rsidR="00407EA0" w:rsidRDefault="00000000" w:rsidP="00C300B6">
      <w:pPr>
        <w:pStyle w:val="Compact"/>
        <w:ind w:firstLine="0"/>
      </w:pPr>
      <w:r w:rsidRPr="00C300B6">
        <w:rPr>
          <w:vertAlign w:val="superscript"/>
        </w:rPr>
        <w:t>2</w:t>
      </w:r>
      <w:r>
        <w:t>Department of Geosciences, Boise State University, Boise ID</w:t>
      </w:r>
    </w:p>
    <w:p w14:paraId="2A8F8E58" w14:textId="77777777" w:rsidR="00407EA0" w:rsidRDefault="00000000" w:rsidP="00C300B6">
      <w:pPr>
        <w:pStyle w:val="Compact"/>
        <w:ind w:firstLine="0"/>
      </w:pPr>
      <w:r w:rsidRPr="00C300B6">
        <w:rPr>
          <w:vertAlign w:val="superscript"/>
        </w:rPr>
        <w:t>3</w:t>
      </w:r>
      <w:r>
        <w:t>Department of Geosciences, University of Wisconsin, Madison, WI</w:t>
      </w:r>
    </w:p>
    <w:p w14:paraId="605493AB" w14:textId="77777777" w:rsidR="00407EA0" w:rsidRDefault="00000000" w:rsidP="00C300B6">
      <w:pPr>
        <w:pStyle w:val="Compact"/>
        <w:ind w:firstLine="0"/>
      </w:pPr>
      <w:r w:rsidRPr="00C300B6">
        <w:rPr>
          <w:vertAlign w:val="superscript"/>
        </w:rPr>
        <w:t>*</w:t>
      </w:r>
      <w:r>
        <w:t>Corresponding author: rtrayler@ucmerced.edu</w:t>
      </w:r>
    </w:p>
    <w:p w14:paraId="27B1EED3" w14:textId="77777777" w:rsidR="00407EA0" w:rsidRDefault="00000000">
      <w:pPr>
        <w:pStyle w:val="Heading1"/>
      </w:pPr>
      <w:bookmarkStart w:id="0" w:name="introduction"/>
      <w:r>
        <w:t>Introduction</w:t>
      </w:r>
    </w:p>
    <w:p w14:paraId="7023D71C" w14:textId="77777777" w:rsidR="00407EA0" w:rsidRDefault="00000000">
      <w:pPr>
        <w:pStyle w:val="FirstParagraph"/>
      </w:pPr>
      <w:r>
        <w:t>Linking the rock record to numerical time is crucial step when investigating the timing, rate, and duration of geologic, climatological and biotic processes, but constructing chronologies (age-depth modeling) from the rock record is complicated by a variety of factors. The premier radioisotopic geochronometers, the Argon-Argon (</w:t>
      </w:r>
      <w:r>
        <w:rPr>
          <w:vertAlign w:val="superscript"/>
        </w:rPr>
        <w:t>40</w:t>
      </w:r>
      <w:r>
        <w:t>Ar/</w:t>
      </w:r>
      <w:r>
        <w:rPr>
          <w:vertAlign w:val="superscript"/>
        </w:rPr>
        <w:t>39</w:t>
      </w:r>
      <w:r>
        <w:t>Ar) and Uranium Lead (U-Pb) methods enable direct determination of age from single mineral crystals (e.g., sanadine, zircon) to better that 0.1% (Schmitz and Kuiper, 2013). However, rocks amenable to radioisotopic dating, mostly volcanic ashes, usually only occur in a few randomly distributed horizons within a stratigraphic section. This leads to the problem of a small number of high-precision dates scatter throughout stratigraphy with limited chronologic information between these horizons. Consequently, chronologies developed using only radioisotopic dates have widely varying uncertainties, with precise ages near the position of the dates and much lager uncertainties in stratigraphically distant areas (Blaauw and Christen, 2011; Parnell et al., 2011; Trachsel and Telford, 2017; Trayler et al., 2020).</w:t>
      </w:r>
    </w:p>
    <w:p w14:paraId="2A0051CC" w14:textId="77777777" w:rsidR="00407EA0" w:rsidRDefault="00000000">
      <w:pPr>
        <w:pStyle w:val="BodyText"/>
      </w:pPr>
      <w:r>
        <w:t xml:space="preserve">Adding more chronologic information is the best way to improve age-depth model construction (Blaauw et al., 2018). In particular, including stratigraphically-continuous data can significantly reduce model uncertainties. Astrochronology uses the geologic record of </w:t>
      </w:r>
      <w:r>
        <w:lastRenderedPageBreak/>
        <w:t>oscillations in earth climate (“Milankovitch cycles”) to interpret the passage of time (Hinnov, 2013; Laskar, 2020). Some of these oscillations can be linked to astrologic processes with well understood periods, including changes to the ellipticity Earth’s orbit (eccentricity; ~0.1 Ma, 0.405 Ma), axial tilt (obliquity ~0.041 Ma), and axial precession (precession; ~0.02 Ma) (Laskar, 2020). The manifestation of these astrologic frequencies in the rock record can be used as a metronome that provides a direct link between the rock record and relative age (see reviews of Meyers, 2019; and Hinnov, 2013). Unlike radioisotopic dating methods, astrochronology produces near-continuous chronologies from stratigraphic records, sometimes at sub-centimeter resolution, a strength that make it an ideal tool for fine-scale investigations of geologic proxy records. Perhaps the biggest limitation of astrochronology is that, in the absence of independent constraints, it produces “floating” chronologies that lack numerical time information.</w:t>
      </w:r>
    </w:p>
    <w:p w14:paraId="694EC610" w14:textId="77777777" w:rsidR="00407EA0" w:rsidRDefault="00000000">
      <w:pPr>
        <w:pStyle w:val="BodyText"/>
      </w:pPr>
      <w:r>
        <w:t xml:space="preserve">Combining radioisotopic dates and floating astrochronolgic records into an integrated model of age is an attractive prospect as it combines the strengths and overcomes the limitations of both data sources. here we present a new freely available </w:t>
      </w:r>
      <w:r>
        <w:rPr>
          <w:rStyle w:val="VerbatimChar"/>
        </w:rPr>
        <w:t>R</w:t>
      </w:r>
      <w:r>
        <w:t xml:space="preserve"> package (</w:t>
      </w:r>
      <w:r>
        <w:rPr>
          <w:rStyle w:val="VerbatimChar"/>
        </w:rPr>
        <w:t>astroBayes</w:t>
      </w:r>
      <w:r>
        <w:t xml:space="preserve">; </w:t>
      </w:r>
      <w:r>
        <w:rPr>
          <w:i/>
          <w:iCs/>
        </w:rPr>
        <w:t>Bayesian Astrochronology</w:t>
      </w:r>
      <w:r>
        <w:t xml:space="preserve">) for joint Bayesian inversion of astrochronologic records and radioisotopic dates to develop high-precision age-depth models for stratigraphic sections. We used </w:t>
      </w:r>
      <w:r>
        <w:rPr>
          <w:rStyle w:val="VerbatimChar"/>
        </w:rPr>
        <w:t>astroBayes</w:t>
      </w:r>
      <w:r>
        <w:t xml:space="preserve"> to investigate the sensitivity of age-depth model construction to a variety of geologic scenarios, including varying the number and stratigraphic position of radioisotopic dates and the presence or absence of sedimentary hiatuses. This method has several strengths over existing “dates only” age-depth models. The inclusion of astrochronological data allows simpler sedimentation models which results in an overall reduction in model uncertainty. Furthermore, these age-depth models are simultaneously anchored in numerical time while simultaneously preserving astrochronologic durations, making them ideal for correlating proxy records to other global records. Finally, we present a case study </w:t>
      </w:r>
      <w:r>
        <w:lastRenderedPageBreak/>
        <w:t>from the Bridge Creek Limestone of the Western Interior Basin, where we refine the age of the Cenomanian–Turonian boundary.</w:t>
      </w:r>
    </w:p>
    <w:p w14:paraId="0E11548B" w14:textId="77777777" w:rsidR="00407EA0" w:rsidRDefault="00000000">
      <w:pPr>
        <w:pStyle w:val="Heading1"/>
      </w:pPr>
      <w:bookmarkStart w:id="1" w:name="background"/>
      <w:bookmarkEnd w:id="0"/>
      <w:r>
        <w:t>Background</w:t>
      </w:r>
    </w:p>
    <w:p w14:paraId="49E50E38" w14:textId="77777777" w:rsidR="00407EA0" w:rsidRDefault="00000000">
      <w:pPr>
        <w:pStyle w:val="Heading2"/>
      </w:pPr>
      <w:bookmarkStart w:id="2" w:name="astrochronology"/>
      <w:r>
        <w:t>Astrochronology</w:t>
      </w:r>
    </w:p>
    <w:p w14:paraId="735F5D3F" w14:textId="77777777" w:rsidR="00407EA0" w:rsidRDefault="00000000">
      <w:pPr>
        <w:pStyle w:val="FirstParagraph"/>
      </w:pPr>
      <w:r w:rsidRPr="001115C3">
        <w:rPr>
          <w:b/>
          <w:bCs/>
          <w:highlight w:val="yellow"/>
        </w:rPr>
        <w:t>Steve can write this</w:t>
      </w:r>
    </w:p>
    <w:p w14:paraId="2C893119" w14:textId="77777777" w:rsidR="00407EA0" w:rsidRDefault="00000000">
      <w:pPr>
        <w:pStyle w:val="Heading2"/>
      </w:pPr>
      <w:bookmarkStart w:id="3" w:name="radioisotope-geochronology"/>
      <w:bookmarkEnd w:id="2"/>
      <w:r>
        <w:t>Radioisotope Geochronology</w:t>
      </w:r>
    </w:p>
    <w:p w14:paraId="262D65A0" w14:textId="77777777" w:rsidR="00407EA0" w:rsidRDefault="00000000">
      <w:pPr>
        <w:pStyle w:val="FirstParagraph"/>
      </w:pPr>
      <w:r w:rsidRPr="001115C3">
        <w:rPr>
          <w:b/>
          <w:bCs/>
          <w:highlight w:val="yellow"/>
        </w:rPr>
        <w:t>Mark can write this</w:t>
      </w:r>
    </w:p>
    <w:p w14:paraId="36A060ED" w14:textId="77777777" w:rsidR="00407EA0" w:rsidRDefault="00000000">
      <w:pPr>
        <w:pStyle w:val="Heading2"/>
      </w:pPr>
      <w:bookmarkStart w:id="4" w:name="bayesian-statistics"/>
      <w:bookmarkEnd w:id="3"/>
      <w:r>
        <w:t>Bayesian Statistics</w:t>
      </w:r>
    </w:p>
    <w:p w14:paraId="41B3279C" w14:textId="77777777" w:rsidR="00407EA0" w:rsidRDefault="00000000">
      <w:pPr>
        <w:pStyle w:val="FirstParagraph"/>
      </w:pPr>
      <w:r>
        <w:t xml:space="preserve">Bayesian statistics aims to determine the most probable value of unknown parameters given </w:t>
      </w:r>
      <w:r>
        <w:rPr>
          <w:i/>
          <w:iCs/>
        </w:rPr>
        <w:t>data</w:t>
      </w:r>
      <w:r>
        <w:t xml:space="preserve"> and </w:t>
      </w:r>
      <w:r>
        <w:rPr>
          <w:i/>
          <w:iCs/>
        </w:rPr>
        <w:t>prior</w:t>
      </w:r>
      <w:r>
        <w:t xml:space="preserve"> information about those parameters. This is formalized in Bayes equation:</w:t>
      </w:r>
    </w:p>
    <w:p w14:paraId="11035867" w14:textId="77777777" w:rsidR="00407EA0" w:rsidRDefault="00000000">
      <w:pPr>
        <w:pStyle w:val="BodyText"/>
      </w:pPr>
      <w:bookmarkStart w:id="5" w:name="eq:bayes"/>
      <m:oMathPara>
        <m:oMathParaPr>
          <m:jc m:val="center"/>
        </m:oMathParaPr>
        <m:oMath>
          <m:r>
            <w:rPr>
              <w:rFonts w:ascii="Cambria Math" w:hAnsi="Cambria Math"/>
            </w:rPr>
            <m:t>P</m:t>
          </m:r>
          <m:d>
            <m:dPr>
              <m:ctrlPr>
                <w:rPr>
                  <w:rFonts w:ascii="Cambria Math" w:hAnsi="Cambria Math"/>
                </w:rPr>
              </m:ctrlPr>
            </m:dPr>
            <m:e>
              <m:r>
                <w:rPr>
                  <w:rFonts w:ascii="Cambria Math" w:hAnsi="Cambria Math"/>
                </w:rPr>
                <m:t>parameters</m:t>
              </m:r>
              <m:r>
                <m:rPr>
                  <m:sty m:val="p"/>
                </m:rPr>
                <w:rPr>
                  <w:rFonts w:ascii="Cambria Math" w:hAnsi="Cambria Math"/>
                </w:rPr>
                <m:t>|</m:t>
              </m:r>
              <m:r>
                <w:rPr>
                  <w:rFonts w:ascii="Cambria Math" w:hAnsi="Cambria Math"/>
                </w:rPr>
                <m:t>data</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data</m:t>
              </m:r>
              <m:r>
                <m:rPr>
                  <m:sty m:val="p"/>
                </m:rPr>
                <w:rPr>
                  <w:rFonts w:ascii="Cambria Math" w:hAnsi="Cambria Math"/>
                </w:rPr>
                <m:t>|</m:t>
              </m:r>
              <m:r>
                <w:rPr>
                  <w:rFonts w:ascii="Cambria Math" w:hAnsi="Cambria Math"/>
                </w:rPr>
                <m:t>parameters</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parameters</m:t>
              </m:r>
            </m:e>
          </m:d>
          <m:r>
            <w:rPr>
              <w:rFonts w:ascii="Cambria Math" w:hAnsi="Cambria Math"/>
            </w:rPr>
            <m:t>  </m:t>
          </m:r>
          <m:d>
            <m:dPr>
              <m:ctrlPr>
                <w:rPr>
                  <w:rFonts w:ascii="Cambria Math" w:hAnsi="Cambria Math"/>
                </w:rPr>
              </m:ctrlPr>
            </m:dPr>
            <m:e>
              <m:r>
                <w:rPr>
                  <w:rFonts w:ascii="Cambria Math" w:hAnsi="Cambria Math"/>
                </w:rPr>
                <m:t>1</m:t>
              </m:r>
            </m:e>
          </m:d>
        </m:oMath>
      </m:oMathPara>
      <w:bookmarkEnd w:id="5"/>
    </w:p>
    <w:p w14:paraId="48631AE5" w14:textId="77777777" w:rsidR="00407EA0" w:rsidRDefault="00000000">
      <w:pPr>
        <w:pStyle w:val="FirstParagraph"/>
      </w:pPr>
      <w:r>
        <w:t>The first term on the righthand side of eq. 1, known as the likelihood, is the conditional probability of the data, given a set of parameters. The second term represents any prior beliefs about these parameters. The left hand side is the posterior probability of the parameters. Bayes equation is often difficult or impossible to solve analytically, and instead the posterior distribution is simulated using Markov Chain Monte Carlo methods (MCMC) to generate a representative sample, which assuming a properly tuned MCMC process (Haario et al., 2001), should have the same properties (mean, median, dispersion, etc.) as the theoretical posterior distribution (Gelman et al., 1996).</w:t>
      </w:r>
    </w:p>
    <w:p w14:paraId="1D0B94DE" w14:textId="77777777" w:rsidR="00407EA0" w:rsidRDefault="00000000">
      <w:pPr>
        <w:pStyle w:val="Heading2"/>
      </w:pPr>
      <w:bookmarkStart w:id="6" w:name="bayesian-age-depth-modeling"/>
      <w:bookmarkEnd w:id="4"/>
      <w:r>
        <w:t>Bayesian Age-Depth Modeling</w:t>
      </w:r>
    </w:p>
    <w:p w14:paraId="605ABBAC" w14:textId="77777777" w:rsidR="00407EA0" w:rsidRDefault="00000000">
      <w:pPr>
        <w:pStyle w:val="FirstParagraph"/>
      </w:pPr>
      <w:r>
        <w:t xml:space="preserve">Existing Bayesian methods for age-depth model construction rely on sedimentation models that link stratigraphic position to age. This is usually accomplished by fitting a curve to </w:t>
      </w:r>
      <w:r>
        <w:lastRenderedPageBreak/>
        <w:t xml:space="preserve">several dated horizons throughout a stratigraphic section which is then used to estimate the age and uncertainty at undated points (Blaauw and Heegaard, 2012). A variety of Bayesian approaches have been proposed to fit age-depth models including </w:t>
      </w:r>
      <w:r>
        <w:rPr>
          <w:rStyle w:val="VerbatimChar"/>
        </w:rPr>
        <w:t>Bchron</w:t>
      </w:r>
      <w:r>
        <w:t xml:space="preserve"> (Haslett and Parnell, 2008) </w:t>
      </w:r>
      <w:r>
        <w:rPr>
          <w:rStyle w:val="VerbatimChar"/>
        </w:rPr>
        <w:t>rbacon</w:t>
      </w:r>
      <w:r>
        <w:t xml:space="preserve"> (Blaauw and Christen, 2011), and </w:t>
      </w:r>
      <w:r>
        <w:rPr>
          <w:rStyle w:val="VerbatimChar"/>
        </w:rPr>
        <w:t>Chron.jl</w:t>
      </w:r>
      <w:r>
        <w:t xml:space="preserve"> (Schoene et al., 2019; Keller, 2018). While these methods vary considerably in their mathematical framework, most they share two fundamental characteristics. First, they treat sediment accumulation as a stochastic process where accumulation rate is allowed to vary randomly and considerably throughout a stratigraphic section. Second, they rely on discrete point-estimates of absolute age, usually in the form of radioisotopic dates (e.g., </w:t>
      </w:r>
      <w:r>
        <w:rPr>
          <w:vertAlign w:val="superscript"/>
        </w:rPr>
        <w:t>40</w:t>
      </w:r>
      <w:r>
        <w:t>Ar/</w:t>
      </w:r>
      <w:r>
        <w:rPr>
          <w:vertAlign w:val="superscript"/>
        </w:rPr>
        <w:t>39</w:t>
      </w:r>
      <w:r>
        <w:t xml:space="preserve">Ar, U-Pb, </w:t>
      </w:r>
      <w:r>
        <w:rPr>
          <w:vertAlign w:val="superscript"/>
        </w:rPr>
        <w:t>14</w:t>
      </w:r>
      <w:r>
        <w:t>C), as the only basis for chronology construction. This leads to “dates-only” chronologies with widely variable uncertainties (Trachsel and Telford, 2017; Telford et al., 2004; De Vleeschouwer and Parnell, 2014) that are largely a function of data density. That is, model errors are lower in areas where there are more age determinations and higher in areas with less data, leading to “sausage” shaped uncertainties (De Vleeschouwer and Parnell, 2014).</w:t>
      </w:r>
    </w:p>
    <w:p w14:paraId="13DEAA13" w14:textId="77777777" w:rsidR="00407EA0" w:rsidRDefault="00000000">
      <w:pPr>
        <w:pStyle w:val="BodyText"/>
      </w:pPr>
      <w:r>
        <w:t xml:space="preserve">Previous attempts to link astrochronology and radioisotopic dates have relied either on post-hoc comparisons or by “transforming” one data type into another. De Vleeschouwer and Parnell (2014) recalibrated the Devonian time scale and calculated new stage boundaries using a two step process. First the authors generated a bayesian age-depth model using the </w:t>
      </w:r>
      <w:r>
        <w:rPr>
          <w:rStyle w:val="VerbatimChar"/>
        </w:rPr>
        <w:t>Bchron</w:t>
      </w:r>
      <w:r>
        <w:t xml:space="preserve"> </w:t>
      </w:r>
      <w:r>
        <w:rPr>
          <w:rStyle w:val="VerbatimChar"/>
        </w:rPr>
        <w:t>R</w:t>
      </w:r>
      <w:r>
        <w:t xml:space="preserve"> package (Haslett and Parnell, 2008) and the performed a post-hoc rejection of model iterations that violated previously derived astrochronologic stage durations. While these results are consistent with both data types the inclusion of astrochronology did not directly influence age-model construction. Harrigan et al. (2021) further refined the Devonian timescale by using a modified version of </w:t>
      </w:r>
      <w:r>
        <w:rPr>
          <w:rStyle w:val="VerbatimChar"/>
        </w:rPr>
        <w:t>Bchron</w:t>
      </w:r>
      <w:r>
        <w:t xml:space="preserve"> (Trayler et al., 2020). The authors used a Monte Carlo approach to convert astrochronology derived durations into stage boundary ages which were then included </w:t>
      </w:r>
      <w:r>
        <w:lastRenderedPageBreak/>
        <w:t>as inputs along-side radioisotopic dates for Bayesian modeling. Each of these methods requires external processing and interpretation of astrochronologic data, either to derive durations or to transform it into a from (i.e. age±uncertainty) that is amenable to inclusion into existing models.</w:t>
      </w:r>
    </w:p>
    <w:p w14:paraId="602F66A7" w14:textId="77777777" w:rsidR="00407EA0" w:rsidRDefault="00000000">
      <w:pPr>
        <w:pStyle w:val="Heading2"/>
      </w:pPr>
      <w:bookmarkStart w:id="7" w:name="case-study-bridge-creek-limestone"/>
      <w:bookmarkEnd w:id="6"/>
      <w:r>
        <w:t>Case Study: Bridge Creek Limestone</w:t>
      </w:r>
    </w:p>
    <w:p w14:paraId="15820703" w14:textId="77777777" w:rsidR="00407EA0" w:rsidRDefault="00000000">
      <w:pPr>
        <w:pStyle w:val="FirstParagraph"/>
      </w:pPr>
      <w:r w:rsidRPr="001115C3">
        <w:rPr>
          <w:b/>
          <w:bCs/>
          <w:highlight w:val="yellow"/>
        </w:rPr>
        <w:t>This is mostly placeholder text. Steve please expand the this section as you see fit</w:t>
      </w:r>
    </w:p>
    <w:p w14:paraId="3853B89C" w14:textId="77777777" w:rsidR="00407EA0" w:rsidRDefault="00000000">
      <w:pPr>
        <w:pStyle w:val="BodyText"/>
      </w:pPr>
      <w:r>
        <w:t xml:space="preserve">The Bridge Creek Limestone is the uppermost member of the Greenhorn Formation of central Colorado. It is primarily composed of hemipelagic marlstones and limestone couplets that extend laterally for over 1,000 km in the Western Interior Basin (Elder et al., 1994). These couplets are characterized by alternations from darker organic carbon rich laminated clay and mudstones to lighter carbonate rich, organic poor limestone facies. Previous work has reported Milankovich scale cyclicity in the Bridge Creek Limestone and </w:t>
      </w:r>
      <w:r>
        <w:rPr>
          <w:vertAlign w:val="superscript"/>
        </w:rPr>
        <w:t>40</w:t>
      </w:r>
      <w:r>
        <w:t>Ar/</w:t>
      </w:r>
      <w:r>
        <w:rPr>
          <w:vertAlign w:val="superscript"/>
        </w:rPr>
        <w:t>39</w:t>
      </w:r>
      <w:r>
        <w:t>Ar ages from several bentonites throughout the section (Sageman et al., 1998; Meyers et al., 2001, 2012). Meyers et al. (2012) previously calibrated the age of the Cenomanian-Turonian boundary as 93.90±0.15Ma (mean±95%CI) using a Bayesian “stacked bed” algorithm (Buck et al., 1991) that respects both superposition and astrochronologic durations between the dates and the boundary position.</w:t>
      </w:r>
    </w:p>
    <w:p w14:paraId="7EDE0D30" w14:textId="77777777" w:rsidR="00407EA0" w:rsidRDefault="00000000">
      <w:pPr>
        <w:pStyle w:val="Heading1"/>
      </w:pPr>
      <w:bookmarkStart w:id="8" w:name="methods"/>
      <w:bookmarkEnd w:id="1"/>
      <w:bookmarkEnd w:id="7"/>
      <w:r>
        <w:lastRenderedPageBreak/>
        <w:t>Methods</w:t>
      </w:r>
    </w:p>
    <w:p w14:paraId="27ACE672" w14:textId="77777777" w:rsidR="00407EA0" w:rsidRDefault="00000000">
      <w:pPr>
        <w:pStyle w:val="Heading2"/>
      </w:pPr>
      <w:bookmarkStart w:id="9" w:name="model-construction"/>
      <w:r>
        <w:t>Model Construction</w:t>
      </w:r>
    </w:p>
    <w:p w14:paraId="2F116E92" w14:textId="72C59903" w:rsidR="00407EA0" w:rsidRDefault="00C300B6" w:rsidP="001115C3">
      <w:pPr>
        <w:pStyle w:val="CaptionedFigure"/>
        <w:jc w:val="center"/>
      </w:pPr>
      <w:r>
        <w:rPr>
          <w:noProof/>
        </w:rPr>
        <w:drawing>
          <wp:inline distT="0" distB="0" distL="0" distR="0" wp14:anchorId="218C006D" wp14:editId="4074EB8E">
            <wp:extent cx="3886200" cy="3657600"/>
            <wp:effectExtent l="0" t="0" r="0" b="0"/>
            <wp:docPr id="113860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07780" name="Picture 1138607780"/>
                    <pic:cNvPicPr/>
                  </pic:nvPicPr>
                  <pic:blipFill>
                    <a:blip r:embed="rId7">
                      <a:extLst>
                        <a:ext uri="{28A0092B-C50C-407E-A947-70E740481C1C}">
                          <a14:useLocalDpi xmlns:a14="http://schemas.microsoft.com/office/drawing/2010/main" val="0"/>
                        </a:ext>
                      </a:extLst>
                    </a:blip>
                    <a:stretch>
                      <a:fillRect/>
                    </a:stretch>
                  </pic:blipFill>
                  <pic:spPr>
                    <a:xfrm>
                      <a:off x="0" y="0"/>
                      <a:ext cx="3886200" cy="3657600"/>
                    </a:xfrm>
                    <a:prstGeom prst="rect">
                      <a:avLst/>
                    </a:prstGeom>
                  </pic:spPr>
                </pic:pic>
              </a:graphicData>
            </a:graphic>
          </wp:inline>
        </w:drawing>
      </w:r>
    </w:p>
    <w:p w14:paraId="4ACB91A2" w14:textId="77777777" w:rsidR="00407EA0" w:rsidRDefault="00000000">
      <w:pPr>
        <w:pStyle w:val="ImageCaption"/>
      </w:pPr>
      <w:r>
        <w:t>Figure 1: Schematic of model parameters.</w:t>
      </w:r>
    </w:p>
    <w:p w14:paraId="7E9ECF56" w14:textId="77777777" w:rsidR="00407EA0" w:rsidRDefault="00000000">
      <w:pPr>
        <w:pStyle w:val="BodyText"/>
      </w:pPr>
      <w:r>
        <w:t>The data consists of measurements of an cycostratigraphy record (</w:t>
      </w:r>
      <w:r>
        <w:rPr>
          <w:i/>
          <w:iCs/>
        </w:rPr>
        <w:t>data</w:t>
      </w:r>
      <w:r>
        <w:t>) (e.g., δ</w:t>
      </w:r>
      <w:r>
        <w:rPr>
          <w:vertAlign w:val="superscript"/>
        </w:rPr>
        <w:t>18</w:t>
      </w:r>
      <w:r>
        <w:t>O, XRF scans, core resistivity, etc), and a set of radioisotopic dates (</w:t>
      </w:r>
      <w:r>
        <w:rPr>
          <w:i/>
          <w:iCs/>
        </w:rPr>
        <w:t>dates</w:t>
      </w:r>
      <w:r>
        <w:t xml:space="preserve">) that share a common stratigraphic scale. Developing an age-depth model from these records requires 1) a likelihood function that reflects the probability of both data types, 2) a common set of parameters to calculate the probability of, and 3) in the case of age-depth modeling, a model that reflects the best aproximation of sediment accumulation. We focus on estimating the probability of sedimentation rate as the basis for the </w:t>
      </w:r>
      <w:r>
        <w:rPr>
          <w:rStyle w:val="VerbatimChar"/>
        </w:rPr>
        <w:t>astroBayes</w:t>
      </w:r>
      <w:r>
        <w:t xml:space="preserve"> age-depth model. Since sedimentation rate is expressed as depth-per-time (e.g., m/Ma, cm/ky) it directly links stratigraphic position to relative age to create floating age models, and when combined with radioscopic dates, models anchored in numerical time.</w:t>
      </w:r>
    </w:p>
    <w:p w14:paraId="2D850E21" w14:textId="77777777" w:rsidR="00407EA0" w:rsidRDefault="00000000">
      <w:pPr>
        <w:pStyle w:val="BodyText"/>
      </w:pPr>
      <w:r>
        <w:lastRenderedPageBreak/>
        <w:t>Existing Bayesian age depth models model sedimentation as a relatively large number of piecewise linear segments. Sedimentation rate can vary substantially between segments, leading to the “sausage-shaped” uncertainty envelopes that characterize these models (Trachsel and Telford, 2017; De Vleeschouwer and Parnell, 2014; Parnell et al., 2011). However, this mode of sedimentation is not ideal for the construction of astrochronologies, as fluctuations in sedimentation rate can be mapped to astrochronologic cycles even if they are unrelated. Instead a sedimentation model for astrologic tuning should minimize fine-scale fluctuations in sedimentation rate (Muller and MacDonald, 2002; Malinverno et al., 2010). We therefore adopt a relatively simple sedimentation model with a few layers of consistent sedimentation rate.</w:t>
      </w:r>
    </w:p>
    <w:p w14:paraId="647BD370" w14:textId="77777777" w:rsidR="00407EA0" w:rsidRDefault="00000000">
      <w:pPr>
        <w:pStyle w:val="BodyText"/>
      </w:pPr>
      <w:r>
        <w:t>Malinverno et al. (2010) presented a simple sedimentation model appropriate for orbital tuning of sedimentary records and we use their framework as the basis for the joint inversion. The sedimentation model consists of two sets of parameters. The first is a vector of sedimentation rates (</w:t>
      </w:r>
      <w:r>
        <w:rPr>
          <w:i/>
          <w:iCs/>
        </w:rPr>
        <w:t>r</w:t>
      </w:r>
      <w:r>
        <w:t>), and stratigraphic boundary positions (</w:t>
      </w:r>
      <w:r>
        <w:rPr>
          <w:i/>
          <w:iCs/>
        </w:rPr>
        <w:t>z</w:t>
      </w:r>
      <w:r>
        <w:t>) that define regions of constant sedimentation (Figure 1 A). For example, the model shown in Figure 1 A has 11 parameters, five sedimentation rates (</w:t>
      </w:r>
      <w:r>
        <w:rPr>
          <w:i/>
          <w:iCs/>
        </w:rPr>
        <w:t>r</w:t>
      </w:r>
      <w:r>
        <w:rPr>
          <w:i/>
          <w:iCs/>
          <w:vertAlign w:val="subscript"/>
        </w:rPr>
        <w:t>1</w:t>
      </w:r>
      <w:r>
        <w:t xml:space="preserve"> – </w:t>
      </w:r>
      <w:r>
        <w:rPr>
          <w:i/>
          <w:iCs/>
        </w:rPr>
        <w:t>r</w:t>
      </w:r>
      <w:r>
        <w:rPr>
          <w:i/>
          <w:iCs/>
          <w:vertAlign w:val="subscript"/>
        </w:rPr>
        <w:t>i</w:t>
      </w:r>
      <w:r>
        <w:t>) and six layer boundaries (</w:t>
      </w:r>
      <w:r>
        <w:rPr>
          <w:i/>
          <w:iCs/>
        </w:rPr>
        <w:t>z</w:t>
      </w:r>
      <w:r>
        <w:rPr>
          <w:i/>
          <w:iCs/>
          <w:vertAlign w:val="subscript"/>
        </w:rPr>
        <w:t>1</w:t>
      </w:r>
      <w:r>
        <w:t xml:space="preserve"> – </w:t>
      </w:r>
      <w:r>
        <w:rPr>
          <w:i/>
          <w:iCs/>
        </w:rPr>
        <w:t>z</w:t>
      </w:r>
      <w:r>
        <w:rPr>
          <w:i/>
          <w:iCs/>
          <w:vertAlign w:val="subscript"/>
        </w:rPr>
        <w:t>i</w:t>
      </w:r>
      <w:r>
        <w:t>). This model formulation allows step changes in sedimentation rate at layer boundaries (</w:t>
      </w:r>
      <w:r>
        <w:rPr>
          <w:i/>
          <w:iCs/>
        </w:rPr>
        <w:t>z</w:t>
      </w:r>
      <w:r>
        <w:t>) but otherwise hold sedimentation rate (</w:t>
      </w:r>
      <w:r>
        <w:rPr>
          <w:i/>
          <w:iCs/>
        </w:rPr>
        <w:t>r</w:t>
      </w:r>
      <w:r>
        <w:t>) within each layer.</w:t>
      </w:r>
    </w:p>
    <w:p w14:paraId="7D6B6C84" w14:textId="77777777" w:rsidR="00407EA0" w:rsidRDefault="00000000">
      <w:pPr>
        <w:pStyle w:val="BodyText"/>
      </w:pPr>
      <w:r>
        <w:t xml:space="preserve">Choosing layer boundary positions is informed by detailed investigation of the cycostratigraphy data. Evolutive harmonic analysis is a time-frequency method that can identify changes in accumulation rate by tracking the apparent frequency of astrologic frequencies. Expressed as cycles/depth, high spectral-power regions may “drift” towards higher or lower frequencies throughout stratigraphy. Assuming these frequencies reflect relatively stable astrological processes, the most likely explanation of those shifts is therefore spatial changes in </w:t>
      </w:r>
      <w:r>
        <w:lastRenderedPageBreak/>
        <w:t>sedimentation rate (Meyers et al., 2001). We visually inspected EHA plots to develop a simple sedimentation models (e.g., Figure 1 B) for our testing data sets. We chose layer boundary positions (z</w:t>
      </w:r>
      <w:r>
        <w:rPr>
          <w:vertAlign w:val="subscript"/>
        </w:rPr>
        <w:t>1</w:t>
      </w:r>
      <w:r>
        <w:t xml:space="preserve"> – z</w:t>
      </w:r>
      <w:r>
        <w:rPr>
          <w:vertAlign w:val="subscript"/>
        </w:rPr>
        <w:t>i</w:t>
      </w:r>
      <w:r>
        <w:t>) by identifying regions with visually stable frequencies (see Figure 2). We allow these boundary positions to vary randomly (within a specified range) to account for the uncertainties in boundary position, similar to the approach of Malinverno et al. (2010).</w:t>
      </w:r>
    </w:p>
    <w:p w14:paraId="1D2EF552" w14:textId="77777777" w:rsidR="00407EA0" w:rsidRDefault="00000000">
      <w:pPr>
        <w:pStyle w:val="BodyText"/>
      </w:pPr>
      <w:r>
        <w:t xml:space="preserve">Together </w:t>
      </w:r>
      <w:r>
        <w:rPr>
          <w:i/>
          <w:iCs/>
        </w:rPr>
        <w:t>r</w:t>
      </w:r>
      <w:r>
        <w:t xml:space="preserve"> and </w:t>
      </w:r>
      <w:r>
        <w:rPr>
          <w:i/>
          <w:iCs/>
        </w:rPr>
        <w:t>z</w:t>
      </w:r>
      <w:r>
        <w:t xml:space="preserve"> can also be transformed to create an age-depth model consisting of piecewise linear segments that form a floating age-depth model (Figure 1 B). This floating model can be linked to absolute time by adding a constant age (</w:t>
      </w:r>
      <w:r>
        <w:rPr>
          <w:i/>
          <w:iCs/>
        </w:rPr>
        <w:t>a</w:t>
      </w:r>
      <w:r>
        <w:t>) to the floating model at every stratigraphic position. This age (</w:t>
      </w:r>
      <w:r>
        <w:rPr>
          <w:i/>
          <w:iCs/>
        </w:rPr>
        <w:t>a</w:t>
      </w:r>
      <w:r>
        <w:t>) acts as an anchor to link the floating age model to absolute time. Optionally, sedimentary hiatuses can also be included in the model in a similar manner by adding the duration of the hiatus (</w:t>
      </w:r>
      <w:r>
        <w:rPr>
          <w:i/>
          <w:iCs/>
        </w:rPr>
        <w:t>h</w:t>
      </w:r>
      <w:r>
        <w:t>) to the all the points of the anchored blade below the stratigraphic position of the hiatus.</w:t>
      </w:r>
    </w:p>
    <w:p w14:paraId="2D861DE3" w14:textId="77777777" w:rsidR="00407EA0" w:rsidRDefault="00000000">
      <w:pPr>
        <w:pStyle w:val="TableCaption"/>
      </w:pPr>
      <w:bookmarkStart w:id="10" w:name="tbl:parameters"/>
      <w:r>
        <w:t>Table 1: explanation of model parameters.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376"/>
        <w:gridCol w:w="6096"/>
      </w:tblGrid>
      <w:tr w:rsidR="00407EA0" w14:paraId="1A488880" w14:textId="77777777" w:rsidTr="00C300B6">
        <w:trPr>
          <w:tblHeader/>
        </w:trPr>
        <w:tc>
          <w:tcPr>
            <w:tcW w:w="2376" w:type="dxa"/>
          </w:tcPr>
          <w:p w14:paraId="0D3551CE" w14:textId="77777777" w:rsidR="00407EA0" w:rsidRDefault="00000000">
            <w:pPr>
              <w:pStyle w:val="Compact"/>
              <w:jc w:val="center"/>
            </w:pPr>
            <w:r>
              <w:t>parameter</w:t>
            </w:r>
          </w:p>
        </w:tc>
        <w:tc>
          <w:tcPr>
            <w:tcW w:w="6096" w:type="dxa"/>
          </w:tcPr>
          <w:p w14:paraId="518FF220" w14:textId="77777777" w:rsidR="00407EA0" w:rsidRDefault="00000000">
            <w:pPr>
              <w:pStyle w:val="Compact"/>
              <w:jc w:val="left"/>
            </w:pPr>
            <w:r>
              <w:t>explanation</w:t>
            </w:r>
          </w:p>
        </w:tc>
      </w:tr>
      <w:tr w:rsidR="00407EA0" w14:paraId="2A08DE12" w14:textId="77777777" w:rsidTr="00C300B6">
        <w:tc>
          <w:tcPr>
            <w:tcW w:w="2376" w:type="dxa"/>
          </w:tcPr>
          <w:p w14:paraId="6BA945ED" w14:textId="77777777" w:rsidR="00407EA0" w:rsidRDefault="00000000">
            <w:pPr>
              <w:pStyle w:val="Compact"/>
              <w:jc w:val="center"/>
            </w:pPr>
            <w:r>
              <w:rPr>
                <w:i/>
                <w:iCs/>
              </w:rPr>
              <w:t>r</w:t>
            </w:r>
          </w:p>
        </w:tc>
        <w:tc>
          <w:tcPr>
            <w:tcW w:w="6096" w:type="dxa"/>
          </w:tcPr>
          <w:p w14:paraId="57EC947A" w14:textId="77777777" w:rsidR="00407EA0" w:rsidRDefault="00000000">
            <w:pPr>
              <w:pStyle w:val="Compact"/>
              <w:jc w:val="left"/>
            </w:pPr>
            <w:r>
              <w:t>sedimentation rate (m/Ma)</w:t>
            </w:r>
          </w:p>
        </w:tc>
      </w:tr>
      <w:tr w:rsidR="00407EA0" w14:paraId="57C2EC80" w14:textId="77777777" w:rsidTr="00C300B6">
        <w:tc>
          <w:tcPr>
            <w:tcW w:w="2376" w:type="dxa"/>
          </w:tcPr>
          <w:p w14:paraId="313C1289" w14:textId="77777777" w:rsidR="00407EA0" w:rsidRDefault="00000000">
            <w:pPr>
              <w:pStyle w:val="Compact"/>
              <w:jc w:val="center"/>
            </w:pPr>
            <w:r>
              <w:rPr>
                <w:i/>
                <w:iCs/>
              </w:rPr>
              <w:t>z</w:t>
            </w:r>
          </w:p>
        </w:tc>
        <w:tc>
          <w:tcPr>
            <w:tcW w:w="6096" w:type="dxa"/>
          </w:tcPr>
          <w:p w14:paraId="689FDBDF" w14:textId="77777777" w:rsidR="00407EA0" w:rsidRDefault="00000000">
            <w:pPr>
              <w:pStyle w:val="Compact"/>
              <w:jc w:val="left"/>
            </w:pPr>
            <w:r>
              <w:t>layer boundary positions (stratigraphic positions)</w:t>
            </w:r>
          </w:p>
        </w:tc>
      </w:tr>
      <w:tr w:rsidR="00407EA0" w14:paraId="543EC1B8" w14:textId="77777777" w:rsidTr="00C300B6">
        <w:tc>
          <w:tcPr>
            <w:tcW w:w="2376" w:type="dxa"/>
          </w:tcPr>
          <w:p w14:paraId="6BF7D951" w14:textId="77777777" w:rsidR="00407EA0" w:rsidRDefault="00000000">
            <w:pPr>
              <w:pStyle w:val="Compact"/>
              <w:jc w:val="center"/>
            </w:pPr>
            <w:r>
              <w:rPr>
                <w:i/>
                <w:iCs/>
              </w:rPr>
              <w:t>a</w:t>
            </w:r>
          </w:p>
        </w:tc>
        <w:tc>
          <w:tcPr>
            <w:tcW w:w="6096" w:type="dxa"/>
          </w:tcPr>
          <w:p w14:paraId="1E58EB12" w14:textId="77777777" w:rsidR="00407EA0" w:rsidRDefault="00000000">
            <w:pPr>
              <w:pStyle w:val="Compact"/>
              <w:jc w:val="left"/>
            </w:pPr>
            <w:r>
              <w:t>anchoring age (Ma)</w:t>
            </w:r>
          </w:p>
        </w:tc>
      </w:tr>
      <w:tr w:rsidR="00407EA0" w14:paraId="06806BC3" w14:textId="77777777" w:rsidTr="00C300B6">
        <w:tc>
          <w:tcPr>
            <w:tcW w:w="2376" w:type="dxa"/>
          </w:tcPr>
          <w:p w14:paraId="069A81D2" w14:textId="77777777" w:rsidR="00407EA0" w:rsidRDefault="00000000">
            <w:pPr>
              <w:pStyle w:val="Compact"/>
              <w:jc w:val="center"/>
            </w:pPr>
            <w:r>
              <w:rPr>
                <w:i/>
                <w:iCs/>
              </w:rPr>
              <w:t>D</w:t>
            </w:r>
          </w:p>
        </w:tc>
        <w:tc>
          <w:tcPr>
            <w:tcW w:w="6096" w:type="dxa"/>
          </w:tcPr>
          <w:p w14:paraId="7072FDD3" w14:textId="77777777" w:rsidR="00407EA0" w:rsidRDefault="00000000">
            <w:pPr>
              <w:pStyle w:val="Compact"/>
              <w:jc w:val="left"/>
            </w:pPr>
            <w:r>
              <w:t xml:space="preserve">depth (stratigraphic positions; transformation of </w:t>
            </w:r>
            <w:r>
              <w:rPr>
                <w:i/>
                <w:iCs/>
              </w:rPr>
              <w:t>z</w:t>
            </w:r>
            <w:r>
              <w:t>)</w:t>
            </w:r>
          </w:p>
        </w:tc>
      </w:tr>
      <w:tr w:rsidR="00407EA0" w14:paraId="498A7ED7" w14:textId="77777777" w:rsidTr="00C300B6">
        <w:tc>
          <w:tcPr>
            <w:tcW w:w="2376" w:type="dxa"/>
          </w:tcPr>
          <w:p w14:paraId="07B2BEBB" w14:textId="77777777" w:rsidR="00407EA0" w:rsidRDefault="00000000">
            <w:pPr>
              <w:pStyle w:val="Compact"/>
              <w:jc w:val="center"/>
            </w:pPr>
            <w:r>
              <w:rPr>
                <w:i/>
                <w:iCs/>
              </w:rPr>
              <w:t>T</w:t>
            </w:r>
          </w:p>
        </w:tc>
        <w:tc>
          <w:tcPr>
            <w:tcW w:w="6096" w:type="dxa"/>
          </w:tcPr>
          <w:p w14:paraId="6F4BC9D2" w14:textId="77777777" w:rsidR="00407EA0" w:rsidRDefault="00000000">
            <w:pPr>
              <w:pStyle w:val="Compact"/>
              <w:jc w:val="left"/>
            </w:pPr>
            <w:r>
              <w:t xml:space="preserve">age (Ma; transformation of </w:t>
            </w:r>
            <w:r>
              <w:rPr>
                <w:i/>
                <w:iCs/>
              </w:rPr>
              <w:t>r</w:t>
            </w:r>
            <w:r>
              <w:t xml:space="preserve"> and </w:t>
            </w:r>
            <w:r>
              <w:rPr>
                <w:i/>
                <w:iCs/>
              </w:rPr>
              <w:t>z</w:t>
            </w:r>
            <w:r>
              <w:t>)</w:t>
            </w:r>
          </w:p>
        </w:tc>
      </w:tr>
      <w:tr w:rsidR="00407EA0" w14:paraId="786A2C99" w14:textId="77777777" w:rsidTr="00C300B6">
        <w:tc>
          <w:tcPr>
            <w:tcW w:w="2376" w:type="dxa"/>
          </w:tcPr>
          <w:p w14:paraId="6130DA31" w14:textId="77777777" w:rsidR="00407EA0" w:rsidRDefault="00000000">
            <w:pPr>
              <w:pStyle w:val="Compact"/>
              <w:jc w:val="center"/>
            </w:pPr>
            <w:r>
              <w:rPr>
                <w:i/>
                <w:iCs/>
              </w:rPr>
              <w:t>f</w:t>
            </w:r>
          </w:p>
        </w:tc>
        <w:tc>
          <w:tcPr>
            <w:tcW w:w="6096" w:type="dxa"/>
          </w:tcPr>
          <w:p w14:paraId="2A2F6CB5" w14:textId="77777777" w:rsidR="00407EA0" w:rsidRDefault="00000000">
            <w:pPr>
              <w:pStyle w:val="Compact"/>
              <w:jc w:val="left"/>
            </w:pPr>
            <w:r>
              <w:t>orbital tuning frequencies (cycles/Ma)</w:t>
            </w:r>
          </w:p>
        </w:tc>
      </w:tr>
      <w:tr w:rsidR="00407EA0" w14:paraId="6AA72EFA" w14:textId="77777777" w:rsidTr="00C300B6">
        <w:tc>
          <w:tcPr>
            <w:tcW w:w="2376" w:type="dxa"/>
          </w:tcPr>
          <w:p w14:paraId="1C3DE96A" w14:textId="77777777" w:rsidR="00407EA0" w:rsidRDefault="00000000">
            <w:pPr>
              <w:pStyle w:val="Compact"/>
              <w:jc w:val="center"/>
            </w:pPr>
            <w:r>
              <w:rPr>
                <w:i/>
                <w:iCs/>
              </w:rPr>
              <w:t>data</w:t>
            </w:r>
          </w:p>
        </w:tc>
        <w:tc>
          <w:tcPr>
            <w:tcW w:w="6096" w:type="dxa"/>
          </w:tcPr>
          <w:p w14:paraId="0E30367E" w14:textId="77777777" w:rsidR="00407EA0" w:rsidRDefault="00000000">
            <w:pPr>
              <w:pStyle w:val="Compact"/>
              <w:jc w:val="left"/>
            </w:pPr>
            <w:r>
              <w:t>astrochronologic data (value vs stratigraphic position)</w:t>
            </w:r>
          </w:p>
        </w:tc>
      </w:tr>
      <w:tr w:rsidR="00407EA0" w14:paraId="0D3D604C" w14:textId="77777777" w:rsidTr="00C300B6">
        <w:tc>
          <w:tcPr>
            <w:tcW w:w="2376" w:type="dxa"/>
          </w:tcPr>
          <w:p w14:paraId="2AC2174C" w14:textId="77777777" w:rsidR="00407EA0" w:rsidRDefault="00000000">
            <w:pPr>
              <w:pStyle w:val="Compact"/>
              <w:jc w:val="center"/>
            </w:pPr>
            <w:r>
              <w:rPr>
                <w:i/>
                <w:iCs/>
              </w:rPr>
              <w:t>dates</w:t>
            </w:r>
          </w:p>
        </w:tc>
        <w:tc>
          <w:tcPr>
            <w:tcW w:w="6096" w:type="dxa"/>
          </w:tcPr>
          <w:p w14:paraId="7304765A" w14:textId="77777777" w:rsidR="00407EA0" w:rsidRDefault="00000000">
            <w:pPr>
              <w:pStyle w:val="Compact"/>
              <w:jc w:val="left"/>
            </w:pPr>
            <w:r>
              <w:t>radioisotopic dates (Ma)</w:t>
            </w:r>
          </w:p>
        </w:tc>
      </w:tr>
    </w:tbl>
    <w:p w14:paraId="06A3F1FE" w14:textId="77777777" w:rsidR="00407EA0" w:rsidRDefault="00000000">
      <w:pPr>
        <w:pStyle w:val="Heading2"/>
      </w:pPr>
      <w:bookmarkStart w:id="11" w:name="probability-calculations"/>
      <w:bookmarkEnd w:id="9"/>
      <w:bookmarkEnd w:id="10"/>
      <w:r>
        <w:t>Probability Calculations</w:t>
      </w:r>
    </w:p>
    <w:p w14:paraId="5A876175" w14:textId="77777777" w:rsidR="00407EA0" w:rsidRDefault="00000000">
      <w:pPr>
        <w:pStyle w:val="FirstParagraph"/>
      </w:pPr>
      <w:r>
        <w:t>Together the vectors of sedimentation rates (</w:t>
      </w:r>
      <w:r>
        <w:rPr>
          <w:i/>
          <w:iCs/>
        </w:rPr>
        <w:t>r</w:t>
      </w:r>
      <w:r>
        <w:t>) and layer boundaries (</w:t>
      </w:r>
      <w:r>
        <w:rPr>
          <w:i/>
          <w:iCs/>
        </w:rPr>
        <w:t>z</w:t>
      </w:r>
      <w:r>
        <w:t>) and anchoring age (</w:t>
      </w:r>
      <w:r>
        <w:rPr>
          <w:i/>
          <w:iCs/>
        </w:rPr>
        <w:t>a</w:t>
      </w:r>
      <w:r>
        <w:t xml:space="preserve">) can be used to to calculate an anchored </w:t>
      </w:r>
      <w:r>
        <w:rPr>
          <w:i/>
          <w:iCs/>
        </w:rPr>
        <w:t>age-depth model</w:t>
      </w:r>
      <w:r>
        <w:t xml:space="preserve"> which consists of a series of piecewise linear segments (Figure 1 B). The slope (m/Ma) and length of these segments is controlled the sedimentation rates (</w:t>
      </w:r>
      <w:r>
        <w:rPr>
          <w:i/>
          <w:iCs/>
        </w:rPr>
        <w:t>r</w:t>
      </w:r>
      <w:r>
        <w:t>) and layer boundary positions (</w:t>
      </w:r>
      <w:r>
        <w:rPr>
          <w:i/>
          <w:iCs/>
        </w:rPr>
        <w:t>z</w:t>
      </w:r>
      <w:r>
        <w:t xml:space="preserve">), while the absolute age is </w:t>
      </w:r>
      <w:r>
        <w:lastRenderedPageBreak/>
        <w:t>controlled by the anchoring constant (</w:t>
      </w:r>
      <w:r>
        <w:rPr>
          <w:i/>
          <w:iCs/>
        </w:rPr>
        <w:t>a</w:t>
      </w:r>
      <w:r>
        <w:t>). The anchored age-depth model now consists of a vector of stratigraphic positions (</w:t>
      </w:r>
      <w:r>
        <w:rPr>
          <w:i/>
          <w:iCs/>
        </w:rPr>
        <w:t>D</w:t>
      </w:r>
      <w:r>
        <w:t>) and a corresponding vector of ages (</w:t>
      </w:r>
      <w:r>
        <w:rPr>
          <w:i/>
          <w:iCs/>
        </w:rPr>
        <w:t>T</w:t>
      </w:r>
      <w:r>
        <w:t>) that relate stratigraphic position to absolute age. The probability of this age-depth model can be assessed by calculating the probability of the segmentation rates (</w:t>
      </w:r>
      <w:r>
        <w:rPr>
          <w:i/>
          <w:iCs/>
        </w:rPr>
        <w:t>r</w:t>
      </w:r>
      <w:r>
        <w:t>) and anchoring constant (</w:t>
      </w:r>
      <w:r>
        <w:rPr>
          <w:i/>
          <w:iCs/>
        </w:rPr>
        <w:t>a</w:t>
      </w:r>
      <w:r>
        <w:t>) given an astrochronologic record (</w:t>
      </w:r>
      <w:r>
        <w:rPr>
          <w:i/>
          <w:iCs/>
        </w:rPr>
        <w:t>data</w:t>
      </w:r>
      <w:r>
        <w:t>) and a series of radioisotopic dates (</w:t>
      </w:r>
      <w:r>
        <w:rPr>
          <w:i/>
          <w:iCs/>
        </w:rPr>
        <w:t>dates</w:t>
      </w:r>
      <w:r>
        <w:t>).</w:t>
      </w:r>
    </w:p>
    <w:p w14:paraId="16B2AA96" w14:textId="77777777" w:rsidR="00407EA0" w:rsidRDefault="00000000">
      <w:pPr>
        <w:pStyle w:val="Heading3"/>
      </w:pPr>
      <w:bookmarkStart w:id="12" w:name="probability-of-a-astrologic-frequencies"/>
      <w:r>
        <w:t>Probability of a Astrologic Frequencies</w:t>
      </w:r>
    </w:p>
    <w:p w14:paraId="5F46F13D" w14:textId="77777777" w:rsidR="00407EA0" w:rsidRDefault="00000000">
      <w:pPr>
        <w:pStyle w:val="FirstParagraph"/>
      </w:pPr>
      <w:r>
        <w:t>We followed the approach of Malinverno et al. (2010) to calculate the probability of our data given a sedimentation rate and set of orbital frequencies (</w:t>
      </w:r>
      <w:r>
        <w:rPr>
          <w:i/>
          <w:iCs/>
        </w:rPr>
        <w:t>f</w:t>
      </w:r>
      <w:r>
        <w:t>).</w:t>
      </w:r>
    </w:p>
    <w:p w14:paraId="3FA1AC91" w14:textId="77777777" w:rsidR="00407EA0" w:rsidRDefault="00000000">
      <w:pPr>
        <w:pStyle w:val="BodyText"/>
      </w:pPr>
      <w:bookmarkStart w:id="13" w:name="eq:malinverno"/>
      <m:oMathPara>
        <m:oMathParaPr>
          <m:jc m:val="center"/>
        </m:oMathParaPr>
        <m:oMath>
          <m:r>
            <w:rPr>
              <w:rFonts w:ascii="Cambria Math" w:hAnsi="Cambria Math"/>
            </w:rPr>
            <m:t>P</m:t>
          </m:r>
          <m:d>
            <m:dPr>
              <m:ctrlPr>
                <w:rPr>
                  <w:rFonts w:ascii="Cambria Math" w:hAnsi="Cambria Math"/>
                </w:rPr>
              </m:ctrlPr>
            </m:dPr>
            <m:e>
              <m:r>
                <w:rPr>
                  <w:rFonts w:ascii="Cambria Math" w:hAnsi="Cambria Math"/>
                </w:rPr>
                <m:t>data</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e>
          </m:d>
          <m:r>
            <m:rPr>
              <m:sty m:val="p"/>
            </m:rPr>
            <w:rPr>
              <w:rFonts w:ascii="Cambria Math" w:hAnsi="Cambria Math"/>
            </w:rPr>
            <m:t>∝</m:t>
          </m:r>
          <m:r>
            <w:rPr>
              <w:rFonts w:ascii="Cambria Math" w:hAnsi="Cambria Math"/>
            </w:rPr>
            <m:t>exp</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data</m:t>
                      </m:r>
                    </m:sub>
                  </m:sSub>
                  <m:d>
                    <m:dPr>
                      <m:ctrlPr>
                        <w:rPr>
                          <w:rFonts w:ascii="Cambria Math" w:hAnsi="Cambria Math"/>
                        </w:rPr>
                      </m:ctrlPr>
                    </m:dPr>
                    <m:e>
                      <m:r>
                        <w:rPr>
                          <w:rFonts w:ascii="Cambria Math" w:hAnsi="Cambria Math"/>
                        </w:rPr>
                        <m:t>f</m:t>
                      </m:r>
                    </m:e>
                  </m:d>
                </m:num>
                <m:den>
                  <m:sSub>
                    <m:sSubPr>
                      <m:ctrlPr>
                        <w:rPr>
                          <w:rFonts w:ascii="Cambria Math" w:hAnsi="Cambria Math"/>
                        </w:rPr>
                      </m:ctrlPr>
                    </m:sSubPr>
                    <m:e>
                      <m:r>
                        <w:rPr>
                          <w:rFonts w:ascii="Cambria Math" w:hAnsi="Cambria Math"/>
                        </w:rPr>
                        <m:t>C</m:t>
                      </m:r>
                    </m:e>
                    <m:sub>
                      <m:r>
                        <w:rPr>
                          <w:rFonts w:ascii="Cambria Math" w:hAnsi="Cambria Math"/>
                        </w:rPr>
                        <m:t>background</m:t>
                      </m:r>
                    </m:sub>
                  </m:sSub>
                  <m:d>
                    <m:dPr>
                      <m:ctrlPr>
                        <w:rPr>
                          <w:rFonts w:ascii="Cambria Math" w:hAnsi="Cambria Math"/>
                        </w:rPr>
                      </m:ctrlPr>
                    </m:dPr>
                    <m:e>
                      <m:r>
                        <w:rPr>
                          <w:rFonts w:ascii="Cambria Math" w:hAnsi="Cambria Math"/>
                        </w:rPr>
                        <m:t>f</m:t>
                      </m:r>
                    </m:e>
                  </m:d>
                </m:den>
              </m:f>
            </m:e>
          </m:d>
          <m:r>
            <w:rPr>
              <w:rFonts w:ascii="Cambria Math" w:hAnsi="Cambria Math"/>
            </w:rPr>
            <m:t>  </m:t>
          </m:r>
          <m:d>
            <m:dPr>
              <m:ctrlPr>
                <w:rPr>
                  <w:rFonts w:ascii="Cambria Math" w:hAnsi="Cambria Math"/>
                </w:rPr>
              </m:ctrlPr>
            </m:dPr>
            <m:e>
              <m:r>
                <w:rPr>
                  <w:rFonts w:ascii="Cambria Math" w:hAnsi="Cambria Math"/>
                </w:rPr>
                <m:t>2</m:t>
              </m:r>
            </m:e>
          </m:d>
        </m:oMath>
      </m:oMathPara>
      <w:bookmarkEnd w:id="13"/>
    </w:p>
    <w:p w14:paraId="386616BC" w14:textId="77777777" w:rsidR="00407EA0" w:rsidRDefault="00000000">
      <w:pPr>
        <w:pStyle w:val="FirstParagraph"/>
      </w:pPr>
      <w:r>
        <w:t xml:space="preserve">Where the data is the astrochronologic record, </w:t>
      </w:r>
      <w:r>
        <w:rPr>
          <w:i/>
          <w:iCs/>
        </w:rPr>
        <w:t>r</w:t>
      </w:r>
      <w:r>
        <w:t xml:space="preserve"> is a sedimentation rate, and </w:t>
      </w:r>
      <w:r>
        <w:rPr>
          <w:i/>
          <w:iCs/>
        </w:rPr>
        <w:t>f</w:t>
      </w:r>
      <w:r>
        <w:t xml:space="preserve"> is an orbital frequency (e.g., Table 2), </w:t>
      </w:r>
      <w:r>
        <w:rPr>
          <w:i/>
          <w:iCs/>
        </w:rPr>
        <w:t>C</w:t>
      </w:r>
      <w:r>
        <w:rPr>
          <w:i/>
          <w:iCs/>
          <w:vertAlign w:val="subscript"/>
        </w:rPr>
        <w:t>data</w:t>
      </w:r>
      <w:r>
        <w:t xml:space="preserve"> is the periodogram of the data, and </w:t>
      </w:r>
      <w:r>
        <w:rPr>
          <w:i/>
          <w:iCs/>
        </w:rPr>
        <w:t>C</w:t>
      </w:r>
      <w:r>
        <w:rPr>
          <w:i/>
          <w:iCs/>
          <w:vertAlign w:val="subscript"/>
        </w:rPr>
        <w:t>background</w:t>
      </w:r>
      <w:r>
        <w:t xml:space="preserve"> is the red noise background. The probability in eq. 2 is calculated independently for each model layer (i.e., between adjacent </w:t>
      </w:r>
      <w:r>
        <w:rPr>
          <w:i/>
          <w:iCs/>
        </w:rPr>
        <w:t>z</w:t>
      </w:r>
      <w:r>
        <w:t>’s), and the overall probability is therefore the joint probability of all individual layers. eq. 2 calculates the concentration of spectral power on orbital frequencies, where a given sedimentation rate is more probable if it causes peaks in spectral power that rise above the red noise background to “line up” with orbital frequencies.</w:t>
      </w:r>
    </w:p>
    <w:p w14:paraId="3F82FEE4" w14:textId="77777777" w:rsidR="00407EA0" w:rsidRDefault="00000000">
      <w:pPr>
        <w:pStyle w:val="TableCaption"/>
      </w:pPr>
      <w:bookmarkStart w:id="14" w:name="tbl:frequencies"/>
      <w:r>
        <w:t>Table 2: Astrologic frequencies used for model testing and validation.</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235"/>
        <w:gridCol w:w="2268"/>
        <w:gridCol w:w="2268"/>
      </w:tblGrid>
      <w:tr w:rsidR="00407EA0" w14:paraId="3ED9E071" w14:textId="77777777" w:rsidTr="00766F20">
        <w:trPr>
          <w:tblHeader/>
        </w:trPr>
        <w:tc>
          <w:tcPr>
            <w:tcW w:w="2235" w:type="dxa"/>
          </w:tcPr>
          <w:p w14:paraId="1F794D71" w14:textId="77777777" w:rsidR="00407EA0" w:rsidRDefault="00000000">
            <w:pPr>
              <w:pStyle w:val="Compact"/>
              <w:jc w:val="center"/>
            </w:pPr>
            <w:r>
              <w:t>Period (Ma)</w:t>
            </w:r>
          </w:p>
        </w:tc>
        <w:tc>
          <w:tcPr>
            <w:tcW w:w="2268" w:type="dxa"/>
          </w:tcPr>
          <w:p w14:paraId="0B9CAF03" w14:textId="77777777" w:rsidR="00407EA0" w:rsidRDefault="00000000">
            <w:pPr>
              <w:pStyle w:val="Compact"/>
              <w:jc w:val="center"/>
            </w:pPr>
            <w:r>
              <w:t>Frequency (1/Ma)</w:t>
            </w:r>
          </w:p>
        </w:tc>
        <w:tc>
          <w:tcPr>
            <w:tcW w:w="2268" w:type="dxa"/>
          </w:tcPr>
          <w:p w14:paraId="14F2BA18" w14:textId="77777777" w:rsidR="00407EA0" w:rsidRDefault="00000000">
            <w:pPr>
              <w:pStyle w:val="Compact"/>
              <w:jc w:val="center"/>
            </w:pPr>
            <w:r>
              <w:t>Cycle</w:t>
            </w:r>
          </w:p>
        </w:tc>
      </w:tr>
      <w:tr w:rsidR="00407EA0" w14:paraId="6EB21096" w14:textId="77777777" w:rsidTr="00766F20">
        <w:tc>
          <w:tcPr>
            <w:tcW w:w="2235" w:type="dxa"/>
          </w:tcPr>
          <w:p w14:paraId="478431F5" w14:textId="77777777" w:rsidR="00407EA0" w:rsidRDefault="00000000">
            <w:pPr>
              <w:pStyle w:val="Compact"/>
              <w:jc w:val="center"/>
            </w:pPr>
            <w:r>
              <w:t>0.4056795</w:t>
            </w:r>
          </w:p>
        </w:tc>
        <w:tc>
          <w:tcPr>
            <w:tcW w:w="2268" w:type="dxa"/>
          </w:tcPr>
          <w:p w14:paraId="357D54DA" w14:textId="77777777" w:rsidR="00407EA0" w:rsidRDefault="00000000">
            <w:pPr>
              <w:pStyle w:val="Compact"/>
              <w:jc w:val="center"/>
            </w:pPr>
            <w:r>
              <w:t>2.465000</w:t>
            </w:r>
          </w:p>
        </w:tc>
        <w:tc>
          <w:tcPr>
            <w:tcW w:w="2268" w:type="dxa"/>
          </w:tcPr>
          <w:p w14:paraId="242D08A9" w14:textId="77777777" w:rsidR="00407EA0" w:rsidRDefault="00000000">
            <w:pPr>
              <w:pStyle w:val="Compact"/>
              <w:jc w:val="center"/>
            </w:pPr>
            <w:r>
              <w:t>eccentricity</w:t>
            </w:r>
          </w:p>
        </w:tc>
      </w:tr>
      <w:tr w:rsidR="00407EA0" w14:paraId="70CE9FCD" w14:textId="77777777" w:rsidTr="00766F20">
        <w:tc>
          <w:tcPr>
            <w:tcW w:w="2235" w:type="dxa"/>
          </w:tcPr>
          <w:p w14:paraId="4033387D" w14:textId="77777777" w:rsidR="00407EA0" w:rsidRDefault="00000000">
            <w:pPr>
              <w:pStyle w:val="Compact"/>
              <w:jc w:val="center"/>
            </w:pPr>
            <w:r>
              <w:t>0.1307190</w:t>
            </w:r>
          </w:p>
        </w:tc>
        <w:tc>
          <w:tcPr>
            <w:tcW w:w="2268" w:type="dxa"/>
          </w:tcPr>
          <w:p w14:paraId="080ADFC4" w14:textId="77777777" w:rsidR="00407EA0" w:rsidRDefault="00000000">
            <w:pPr>
              <w:pStyle w:val="Compact"/>
              <w:jc w:val="center"/>
            </w:pPr>
            <w:r>
              <w:t>7.649997</w:t>
            </w:r>
          </w:p>
        </w:tc>
        <w:tc>
          <w:tcPr>
            <w:tcW w:w="2268" w:type="dxa"/>
          </w:tcPr>
          <w:p w14:paraId="24371934" w14:textId="77777777" w:rsidR="00407EA0" w:rsidRDefault="00000000">
            <w:pPr>
              <w:pStyle w:val="Compact"/>
              <w:jc w:val="center"/>
            </w:pPr>
            <w:r>
              <w:t>eccentricity</w:t>
            </w:r>
          </w:p>
        </w:tc>
      </w:tr>
      <w:tr w:rsidR="00407EA0" w14:paraId="0D5117B2" w14:textId="77777777" w:rsidTr="00766F20">
        <w:tc>
          <w:tcPr>
            <w:tcW w:w="2235" w:type="dxa"/>
          </w:tcPr>
          <w:p w14:paraId="41D5795A" w14:textId="77777777" w:rsidR="00407EA0" w:rsidRDefault="00000000">
            <w:pPr>
              <w:pStyle w:val="Compact"/>
              <w:jc w:val="center"/>
            </w:pPr>
            <w:r>
              <w:t>0.1238390</w:t>
            </w:r>
          </w:p>
        </w:tc>
        <w:tc>
          <w:tcPr>
            <w:tcW w:w="2268" w:type="dxa"/>
          </w:tcPr>
          <w:p w14:paraId="359D5188" w14:textId="77777777" w:rsidR="00407EA0" w:rsidRDefault="00000000">
            <w:pPr>
              <w:pStyle w:val="Compact"/>
              <w:jc w:val="center"/>
            </w:pPr>
            <w:r>
              <w:t>8.075001</w:t>
            </w:r>
          </w:p>
        </w:tc>
        <w:tc>
          <w:tcPr>
            <w:tcW w:w="2268" w:type="dxa"/>
          </w:tcPr>
          <w:p w14:paraId="6F4D8E18" w14:textId="77777777" w:rsidR="00407EA0" w:rsidRDefault="00000000">
            <w:pPr>
              <w:pStyle w:val="Compact"/>
              <w:jc w:val="center"/>
            </w:pPr>
            <w:r>
              <w:t>eccentricity</w:t>
            </w:r>
          </w:p>
        </w:tc>
      </w:tr>
      <w:tr w:rsidR="00407EA0" w14:paraId="19841530" w14:textId="77777777" w:rsidTr="00766F20">
        <w:tc>
          <w:tcPr>
            <w:tcW w:w="2235" w:type="dxa"/>
          </w:tcPr>
          <w:p w14:paraId="7B06CD92" w14:textId="77777777" w:rsidR="00407EA0" w:rsidRDefault="00000000">
            <w:pPr>
              <w:pStyle w:val="Compact"/>
              <w:jc w:val="center"/>
            </w:pPr>
            <w:r>
              <w:t>0.0988631</w:t>
            </w:r>
          </w:p>
        </w:tc>
        <w:tc>
          <w:tcPr>
            <w:tcW w:w="2268" w:type="dxa"/>
          </w:tcPr>
          <w:p w14:paraId="4F0945EF" w14:textId="77777777" w:rsidR="00407EA0" w:rsidRDefault="00000000">
            <w:pPr>
              <w:pStyle w:val="Compact"/>
              <w:jc w:val="center"/>
            </w:pPr>
            <w:r>
              <w:t>10.115001</w:t>
            </w:r>
          </w:p>
        </w:tc>
        <w:tc>
          <w:tcPr>
            <w:tcW w:w="2268" w:type="dxa"/>
          </w:tcPr>
          <w:p w14:paraId="31CCD13E" w14:textId="77777777" w:rsidR="00407EA0" w:rsidRDefault="00000000">
            <w:pPr>
              <w:pStyle w:val="Compact"/>
              <w:jc w:val="center"/>
            </w:pPr>
            <w:r>
              <w:t>eccentricity</w:t>
            </w:r>
          </w:p>
        </w:tc>
      </w:tr>
      <w:tr w:rsidR="00407EA0" w14:paraId="7C4DCE70" w14:textId="77777777" w:rsidTr="00766F20">
        <w:tc>
          <w:tcPr>
            <w:tcW w:w="2235" w:type="dxa"/>
          </w:tcPr>
          <w:p w14:paraId="7B2D87DC" w14:textId="77777777" w:rsidR="00407EA0" w:rsidRDefault="00000000">
            <w:pPr>
              <w:pStyle w:val="Compact"/>
              <w:jc w:val="center"/>
            </w:pPr>
            <w:r>
              <w:t>0.0948767</w:t>
            </w:r>
          </w:p>
        </w:tc>
        <w:tc>
          <w:tcPr>
            <w:tcW w:w="2268" w:type="dxa"/>
          </w:tcPr>
          <w:p w14:paraId="1CC1F052" w14:textId="77777777" w:rsidR="00407EA0" w:rsidRDefault="00000000">
            <w:pPr>
              <w:pStyle w:val="Compact"/>
              <w:jc w:val="center"/>
            </w:pPr>
            <w:r>
              <w:t>10.540000</w:t>
            </w:r>
          </w:p>
        </w:tc>
        <w:tc>
          <w:tcPr>
            <w:tcW w:w="2268" w:type="dxa"/>
          </w:tcPr>
          <w:p w14:paraId="572D34C2" w14:textId="77777777" w:rsidR="00407EA0" w:rsidRDefault="00000000">
            <w:pPr>
              <w:pStyle w:val="Compact"/>
              <w:jc w:val="center"/>
            </w:pPr>
            <w:r>
              <w:t>eccentricity</w:t>
            </w:r>
          </w:p>
        </w:tc>
      </w:tr>
      <w:tr w:rsidR="00407EA0" w14:paraId="7DDD597D" w14:textId="77777777" w:rsidTr="00766F20">
        <w:tc>
          <w:tcPr>
            <w:tcW w:w="2235" w:type="dxa"/>
          </w:tcPr>
          <w:p w14:paraId="4FF5A855" w14:textId="77777777" w:rsidR="00407EA0" w:rsidRDefault="00000000">
            <w:pPr>
              <w:pStyle w:val="Compact"/>
              <w:jc w:val="center"/>
            </w:pPr>
            <w:r>
              <w:t>0.0409668</w:t>
            </w:r>
          </w:p>
        </w:tc>
        <w:tc>
          <w:tcPr>
            <w:tcW w:w="2268" w:type="dxa"/>
          </w:tcPr>
          <w:p w14:paraId="1E479248" w14:textId="77777777" w:rsidR="00407EA0" w:rsidRDefault="00000000">
            <w:pPr>
              <w:pStyle w:val="Compact"/>
              <w:jc w:val="center"/>
            </w:pPr>
            <w:r>
              <w:t>24.410000</w:t>
            </w:r>
          </w:p>
        </w:tc>
        <w:tc>
          <w:tcPr>
            <w:tcW w:w="2268" w:type="dxa"/>
          </w:tcPr>
          <w:p w14:paraId="3AC39FFC" w14:textId="77777777" w:rsidR="00407EA0" w:rsidRDefault="00000000">
            <w:pPr>
              <w:pStyle w:val="Compact"/>
              <w:jc w:val="center"/>
            </w:pPr>
            <w:r>
              <w:t>obliquity</w:t>
            </w:r>
          </w:p>
        </w:tc>
      </w:tr>
      <w:tr w:rsidR="00407EA0" w14:paraId="7477425A" w14:textId="77777777" w:rsidTr="00766F20">
        <w:tc>
          <w:tcPr>
            <w:tcW w:w="2235" w:type="dxa"/>
          </w:tcPr>
          <w:p w14:paraId="2FBF1389" w14:textId="77777777" w:rsidR="00407EA0" w:rsidRDefault="00000000">
            <w:pPr>
              <w:pStyle w:val="Compact"/>
              <w:jc w:val="center"/>
            </w:pPr>
            <w:r>
              <w:t>0.0236207</w:t>
            </w:r>
          </w:p>
        </w:tc>
        <w:tc>
          <w:tcPr>
            <w:tcW w:w="2268" w:type="dxa"/>
          </w:tcPr>
          <w:p w14:paraId="505D43D0" w14:textId="77777777" w:rsidR="00407EA0" w:rsidRDefault="00000000">
            <w:pPr>
              <w:pStyle w:val="Compact"/>
              <w:jc w:val="center"/>
            </w:pPr>
            <w:r>
              <w:t>42.335766</w:t>
            </w:r>
          </w:p>
        </w:tc>
        <w:tc>
          <w:tcPr>
            <w:tcW w:w="2268" w:type="dxa"/>
          </w:tcPr>
          <w:p w14:paraId="24FF629F" w14:textId="77777777" w:rsidR="00407EA0" w:rsidRDefault="00000000">
            <w:pPr>
              <w:pStyle w:val="Compact"/>
              <w:jc w:val="center"/>
            </w:pPr>
            <w:r>
              <w:t>precession</w:t>
            </w:r>
          </w:p>
        </w:tc>
      </w:tr>
      <w:tr w:rsidR="00407EA0" w14:paraId="13C9D599" w14:textId="77777777" w:rsidTr="00766F20">
        <w:tc>
          <w:tcPr>
            <w:tcW w:w="2235" w:type="dxa"/>
          </w:tcPr>
          <w:p w14:paraId="1E3979AC" w14:textId="77777777" w:rsidR="00407EA0" w:rsidRDefault="00000000">
            <w:pPr>
              <w:pStyle w:val="Compact"/>
              <w:jc w:val="center"/>
            </w:pPr>
            <w:r>
              <w:lastRenderedPageBreak/>
              <w:t>0.0223187</w:t>
            </w:r>
          </w:p>
        </w:tc>
        <w:tc>
          <w:tcPr>
            <w:tcW w:w="2268" w:type="dxa"/>
          </w:tcPr>
          <w:p w14:paraId="1DFD8272" w14:textId="77777777" w:rsidR="00407EA0" w:rsidRDefault="00000000">
            <w:pPr>
              <w:pStyle w:val="Compact"/>
              <w:jc w:val="center"/>
            </w:pPr>
            <w:r>
              <w:t>44.805517</w:t>
            </w:r>
          </w:p>
        </w:tc>
        <w:tc>
          <w:tcPr>
            <w:tcW w:w="2268" w:type="dxa"/>
          </w:tcPr>
          <w:p w14:paraId="2182036B" w14:textId="77777777" w:rsidR="00407EA0" w:rsidRDefault="00000000">
            <w:pPr>
              <w:pStyle w:val="Compact"/>
              <w:jc w:val="center"/>
            </w:pPr>
            <w:r>
              <w:t>precession</w:t>
            </w:r>
          </w:p>
        </w:tc>
      </w:tr>
      <w:tr w:rsidR="00407EA0" w14:paraId="329BE66E" w14:textId="77777777" w:rsidTr="00766F20">
        <w:tc>
          <w:tcPr>
            <w:tcW w:w="2235" w:type="dxa"/>
          </w:tcPr>
          <w:p w14:paraId="41140B20" w14:textId="77777777" w:rsidR="00407EA0" w:rsidRDefault="00000000">
            <w:pPr>
              <w:pStyle w:val="Compact"/>
              <w:jc w:val="center"/>
            </w:pPr>
            <w:r>
              <w:t>0.0189934</w:t>
            </w:r>
          </w:p>
        </w:tc>
        <w:tc>
          <w:tcPr>
            <w:tcW w:w="2268" w:type="dxa"/>
          </w:tcPr>
          <w:p w14:paraId="38FB9B79" w14:textId="77777777" w:rsidR="00407EA0" w:rsidRDefault="00000000">
            <w:pPr>
              <w:pStyle w:val="Compact"/>
              <w:jc w:val="center"/>
            </w:pPr>
            <w:r>
              <w:t>52.649737</w:t>
            </w:r>
          </w:p>
        </w:tc>
        <w:tc>
          <w:tcPr>
            <w:tcW w:w="2268" w:type="dxa"/>
          </w:tcPr>
          <w:p w14:paraId="27884A6C" w14:textId="77777777" w:rsidR="00407EA0" w:rsidRDefault="00000000">
            <w:pPr>
              <w:pStyle w:val="Compact"/>
              <w:jc w:val="center"/>
            </w:pPr>
            <w:r>
              <w:t>precession</w:t>
            </w:r>
          </w:p>
        </w:tc>
      </w:tr>
      <w:tr w:rsidR="00407EA0" w14:paraId="461FB555" w14:textId="77777777" w:rsidTr="00766F20">
        <w:tc>
          <w:tcPr>
            <w:tcW w:w="2235" w:type="dxa"/>
          </w:tcPr>
          <w:p w14:paraId="21E3D198" w14:textId="77777777" w:rsidR="00407EA0" w:rsidRDefault="00000000">
            <w:pPr>
              <w:pStyle w:val="Compact"/>
              <w:jc w:val="center"/>
            </w:pPr>
            <w:r>
              <w:t>0.0190677</w:t>
            </w:r>
          </w:p>
        </w:tc>
        <w:tc>
          <w:tcPr>
            <w:tcW w:w="2268" w:type="dxa"/>
          </w:tcPr>
          <w:p w14:paraId="3BEC8092" w14:textId="77777777" w:rsidR="00407EA0" w:rsidRDefault="00000000">
            <w:pPr>
              <w:pStyle w:val="Compact"/>
              <w:jc w:val="center"/>
            </w:pPr>
            <w:r>
              <w:t>52.444765</w:t>
            </w:r>
          </w:p>
        </w:tc>
        <w:tc>
          <w:tcPr>
            <w:tcW w:w="2268" w:type="dxa"/>
          </w:tcPr>
          <w:p w14:paraId="7B0D3E65" w14:textId="77777777" w:rsidR="00407EA0" w:rsidRDefault="00000000">
            <w:pPr>
              <w:pStyle w:val="Compact"/>
              <w:jc w:val="center"/>
            </w:pPr>
            <w:r>
              <w:t>precession</w:t>
            </w:r>
          </w:p>
        </w:tc>
      </w:tr>
    </w:tbl>
    <w:p w14:paraId="497C5578" w14:textId="77777777" w:rsidR="00407EA0" w:rsidRDefault="00000000">
      <w:pPr>
        <w:pStyle w:val="Heading3"/>
      </w:pPr>
      <w:bookmarkStart w:id="15" w:name="probability-of-radioisotopic-dates"/>
      <w:bookmarkEnd w:id="12"/>
      <w:bookmarkEnd w:id="14"/>
      <w:r>
        <w:t>Probability of Radioisotopic Dates</w:t>
      </w:r>
    </w:p>
    <w:p w14:paraId="41E7C365" w14:textId="77777777" w:rsidR="00407EA0" w:rsidRDefault="00000000">
      <w:pPr>
        <w:pStyle w:val="FirstParagraph"/>
      </w:pPr>
      <w:r>
        <w:t>The now anchored age-depth model consists of two paired vectors which that relate stratigraphic position (</w:t>
      </w:r>
      <w:r>
        <w:rPr>
          <w:i/>
          <w:iCs/>
        </w:rPr>
        <w:t>D</w:t>
      </w:r>
      <w:r>
        <w:t>) to absolute time (</w:t>
      </w:r>
      <w:r>
        <w:rPr>
          <w:i/>
          <w:iCs/>
        </w:rPr>
        <w:t>T</w:t>
      </w:r>
      <w:r>
        <w:t>). The stratigraphic positions of the dates {</w:t>
      </w:r>
      <w:r>
        <w:rPr>
          <w:i/>
          <w:iCs/>
        </w:rPr>
        <w:t>d</w:t>
      </w:r>
      <w:r>
        <w:rPr>
          <w:i/>
          <w:iCs/>
          <w:vertAlign w:val="subscript"/>
        </w:rPr>
        <w:t>1</w:t>
      </w:r>
      <w:r>
        <w:t xml:space="preserve"> … </w:t>
      </w:r>
      <w:r>
        <w:rPr>
          <w:i/>
          <w:iCs/>
        </w:rPr>
        <w:t>d</w:t>
      </w:r>
      <w:r>
        <w:rPr>
          <w:i/>
          <w:iCs/>
          <w:vertAlign w:val="subscript"/>
        </w:rPr>
        <w:t>j</w:t>
      </w:r>
      <w:r>
        <w:t>} and their corresponding ages [</w:t>
      </w:r>
      <w:r>
        <w:rPr>
          <w:i/>
          <w:iCs/>
        </w:rPr>
        <w:t>t</w:t>
      </w:r>
      <w:r>
        <w:rPr>
          <w:i/>
          <w:iCs/>
          <w:vertAlign w:val="subscript"/>
        </w:rPr>
        <w:t>1</w:t>
      </w:r>
      <w:r>
        <w:t xml:space="preserve"> … </w:t>
      </w:r>
      <w:r>
        <w:rPr>
          <w:i/>
          <w:iCs/>
        </w:rPr>
        <w:t>t</w:t>
      </w:r>
      <w:r>
        <w:rPr>
          <w:i/>
          <w:iCs/>
          <w:vertAlign w:val="subscript"/>
        </w:rPr>
        <w:t>j</w:t>
      </w:r>
      <w:r>
        <w:t xml:space="preserve">] are a subset of </w:t>
      </w:r>
      <w:r>
        <w:rPr>
          <w:i/>
          <w:iCs/>
        </w:rPr>
        <w:t>D</w:t>
      </w:r>
      <w:r>
        <w:t xml:space="preserve"> and </w:t>
      </w:r>
      <w:r>
        <w:rPr>
          <w:i/>
          <w:iCs/>
        </w:rPr>
        <w:t>T</w:t>
      </w:r>
      <w:r>
        <w:t>, respectively. We therefore define the probability of the modeled age (</w:t>
      </w:r>
      <w:r>
        <w:rPr>
          <w:i/>
          <w:iCs/>
        </w:rPr>
        <w:t>T</w:t>
      </w:r>
      <w:r>
        <w:t>) at a depth (</w:t>
      </w:r>
      <w:r>
        <w:rPr>
          <w:i/>
          <w:iCs/>
        </w:rPr>
        <w:t>D</w:t>
      </w:r>
      <w:r>
        <w:t>), given a set of dates as:</w:t>
      </w:r>
    </w:p>
    <w:p w14:paraId="733FDB9F" w14:textId="77777777" w:rsidR="00407EA0" w:rsidRDefault="00000000">
      <w:pPr>
        <w:pStyle w:val="BodyText"/>
      </w:pPr>
      <w:bookmarkStart w:id="16" w:name="eq:radio_prob"/>
      <m:oMathPara>
        <m:oMathParaPr>
          <m:jc m:val="center"/>
        </m:oMathParaPr>
        <m:oMath>
          <m:r>
            <w:rPr>
              <w:rFonts w:ascii="Cambria Math" w:hAnsi="Cambria Math"/>
            </w:rPr>
            <m:t>P</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dates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N</m:t>
              </m:r>
            </m:e>
          </m:nary>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j</m:t>
                  </m:r>
                </m:sub>
                <m:sup>
                  <m:r>
                    <w:rPr>
                      <w:rFonts w:ascii="Cambria Math" w:hAnsi="Cambria Math"/>
                    </w:rPr>
                    <m:t>2</m:t>
                  </m:r>
                </m:sup>
              </m:sSubSup>
            </m:e>
          </m:d>
          <m:r>
            <w:rPr>
              <w:rFonts w:ascii="Cambria Math" w:hAnsi="Cambria Math"/>
            </w:rPr>
            <m:t>  </m:t>
          </m:r>
          <m:d>
            <m:dPr>
              <m:ctrlPr>
                <w:rPr>
                  <w:rFonts w:ascii="Cambria Math" w:hAnsi="Cambria Math"/>
                </w:rPr>
              </m:ctrlPr>
            </m:dPr>
            <m:e>
              <m:r>
                <w:rPr>
                  <w:rFonts w:ascii="Cambria Math" w:hAnsi="Cambria Math"/>
                </w:rPr>
                <m:t>3</m:t>
              </m:r>
            </m:e>
          </m:d>
        </m:oMath>
      </m:oMathPara>
      <w:bookmarkEnd w:id="16"/>
    </w:p>
    <w:p w14:paraId="73D94C1C" w14:textId="77777777" w:rsidR="00407EA0" w:rsidRDefault="00000000">
      <w:pPr>
        <w:pStyle w:val="FirstParagraph"/>
      </w:pPr>
      <w:r>
        <w:t xml:space="preserve">Where </w:t>
      </w:r>
      <w:r>
        <w:rPr>
          <w:i/>
          <w:iCs/>
        </w:rPr>
        <w:t>μ</w:t>
      </w:r>
      <w:r>
        <w:rPr>
          <w:i/>
          <w:iCs/>
          <w:vertAlign w:val="subscript"/>
        </w:rPr>
        <w:t>j</w:t>
      </w:r>
      <w:r>
        <w:t xml:space="preserve"> is the weighted mean age and </w:t>
      </w:r>
      <w:r>
        <w:rPr>
          <w:i/>
          <w:iCs/>
        </w:rPr>
        <w:t>σ</w:t>
      </w:r>
      <w:r>
        <w:rPr>
          <w:i/>
          <w:iCs/>
          <w:vertAlign w:val="superscript"/>
        </w:rPr>
        <w:t>2</w:t>
      </w:r>
      <w:r>
        <w:rPr>
          <w:i/>
          <w:iCs/>
          <w:vertAlign w:val="subscript"/>
        </w:rPr>
        <w:t>j</w:t>
      </w:r>
      <w:r>
        <w:t xml:space="preserve"> is the variance of the j</w:t>
      </w:r>
      <w:r>
        <w:rPr>
          <w:vertAlign w:val="superscript"/>
        </w:rPr>
        <w:t>th</w:t>
      </w:r>
      <w:r>
        <w:t xml:space="preserve"> radioisotopic date at stratigraphic position </w:t>
      </w:r>
      <w:r>
        <w:rPr>
          <w:i/>
          <w:iCs/>
        </w:rPr>
        <w:t>d</w:t>
      </w:r>
      <w:r>
        <w:rPr>
          <w:i/>
          <w:iCs/>
          <w:vertAlign w:val="subscript"/>
        </w:rPr>
        <w:t>j</w:t>
      </w:r>
      <w:r>
        <w:t xml:space="preserve">. Notice that while </w:t>
      </w:r>
      <w:r>
        <w:rPr>
          <w:i/>
          <w:iCs/>
        </w:rPr>
        <w:t>d</w:t>
      </w:r>
      <w:r>
        <w:t xml:space="preserve"> and </w:t>
      </w:r>
      <w:r>
        <w:rPr>
          <w:i/>
          <w:iCs/>
        </w:rPr>
        <w:t>t</w:t>
      </w:r>
      <w:r>
        <w:t xml:space="preserve"> are continuous over the entire stratigraphic section, only the stratigraphic positions that contain radioisotopic dates influence the probability of the age model. In effect, this probability calculation reflects how well the age model “overlaps” the radioisotope dates, where modeled ages that are closer to the radioisotopic dates are more probable Figure 1 B (Schoene et al., 2019; Keller, 2018).</w:t>
      </w:r>
    </w:p>
    <w:p w14:paraId="7249B6FE" w14:textId="77777777" w:rsidR="00407EA0" w:rsidRDefault="00000000">
      <w:pPr>
        <w:pStyle w:val="Heading3"/>
      </w:pPr>
      <w:bookmarkStart w:id="17" w:name="overall-probability-and-implementation"/>
      <w:bookmarkEnd w:id="15"/>
      <w:r>
        <w:t>Overall Probability and Implementation</w:t>
      </w:r>
    </w:p>
    <w:p w14:paraId="10FE32FA" w14:textId="77777777" w:rsidR="00407EA0" w:rsidRDefault="00000000">
      <w:pPr>
        <w:pStyle w:val="FirstParagraph"/>
      </w:pPr>
      <w:r>
        <w:t xml:space="preserve">The overall likelihood function of an anchored age-depth model is the joint probability of eq. 2 and eq. 3. We use a vague uniform prior where sedimentation rate may take any value between a specified minimum and maximum value. </w:t>
      </w:r>
      <w:r>
        <w:rPr>
          <w:rStyle w:val="VerbatimChar"/>
        </w:rPr>
        <w:t>astroBayes</w:t>
      </w:r>
      <w:r>
        <w:t xml:space="preserve"> estimated the most probable values of sedimentation rate, anchoring age, and hiatus duration(s) using a Metropolis-Hasting algorithm and an adaptive Markov Chain Monte Carlo (MCMC) sampler to generate a representative posterior sample for each parameter (Haario et al., 2001). The complete model is </w:t>
      </w:r>
      <w:r>
        <w:lastRenderedPageBreak/>
        <w:t xml:space="preserve">avalible as an </w:t>
      </w:r>
      <w:r>
        <w:rPr>
          <w:rStyle w:val="VerbatimChar"/>
        </w:rPr>
        <w:t>R</w:t>
      </w:r>
      <w:r>
        <w:t xml:space="preserve"> package called </w:t>
      </w:r>
      <w:r>
        <w:rPr>
          <w:rStyle w:val="VerbatimChar"/>
        </w:rPr>
        <w:t>astroBayes</w:t>
      </w:r>
      <w:r>
        <w:t xml:space="preserve"> (</w:t>
      </w:r>
      <w:r>
        <w:rPr>
          <w:i/>
          <w:iCs/>
        </w:rPr>
        <w:t>Bayesian astrochronology</w:t>
      </w:r>
      <w:r>
        <w:t xml:space="preserve">) at </w:t>
      </w:r>
      <w:hyperlink r:id="rId8">
        <w:r>
          <w:rPr>
            <w:rStyle w:val="Hyperlink"/>
          </w:rPr>
          <w:t>github.com/robintrayler/astroBayes</w:t>
        </w:r>
      </w:hyperlink>
      <w:r>
        <w:t>.</w:t>
      </w:r>
    </w:p>
    <w:p w14:paraId="02F64850" w14:textId="77777777" w:rsidR="00407EA0" w:rsidRDefault="00000000">
      <w:pPr>
        <w:pStyle w:val="Heading2"/>
      </w:pPr>
      <w:bookmarkStart w:id="18" w:name="testing-and-validation"/>
      <w:bookmarkEnd w:id="11"/>
      <w:bookmarkEnd w:id="17"/>
      <w:r>
        <w:t>Testing and Validation</w:t>
      </w:r>
    </w:p>
    <w:p w14:paraId="3D40CDF9" w14:textId="7AC3F78B" w:rsidR="00407EA0" w:rsidRDefault="00766F20">
      <w:pPr>
        <w:pStyle w:val="CaptionedFigure"/>
      </w:pPr>
      <w:r>
        <w:rPr>
          <w:noProof/>
        </w:rPr>
        <w:drawing>
          <wp:inline distT="0" distB="0" distL="0" distR="0" wp14:anchorId="4AFC93D2" wp14:editId="7DA9D068">
            <wp:extent cx="5562600" cy="5257800"/>
            <wp:effectExtent l="0" t="0" r="0" b="0"/>
            <wp:docPr id="1118557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57434" name="Picture 1118557434"/>
                    <pic:cNvPicPr/>
                  </pic:nvPicPr>
                  <pic:blipFill>
                    <a:blip r:embed="rId9">
                      <a:extLst>
                        <a:ext uri="{28A0092B-C50C-407E-A947-70E740481C1C}">
                          <a14:useLocalDpi xmlns:a14="http://schemas.microsoft.com/office/drawing/2010/main" val="0"/>
                        </a:ext>
                      </a:extLst>
                    </a:blip>
                    <a:stretch>
                      <a:fillRect/>
                    </a:stretch>
                  </pic:blipFill>
                  <pic:spPr>
                    <a:xfrm>
                      <a:off x="0" y="0"/>
                      <a:ext cx="5562600" cy="5257800"/>
                    </a:xfrm>
                    <a:prstGeom prst="rect">
                      <a:avLst/>
                    </a:prstGeom>
                  </pic:spPr>
                </pic:pic>
              </a:graphicData>
            </a:graphic>
          </wp:inline>
        </w:drawing>
      </w:r>
    </w:p>
    <w:p w14:paraId="7A2AAA0A" w14:textId="77777777" w:rsidR="00407EA0" w:rsidRDefault="00000000">
      <w:pPr>
        <w:pStyle w:val="ImageCaption"/>
      </w:pPr>
      <w:r>
        <w:t>Figure 2: Testing data sets used for model validation. A, D) The synthetic cyclostratigraphy records for TD1 and CIP2. B, E) True age-depth models for both data sets. C, F) Evolutive harmonic analysis of panels A and D. Lighter colors indicate higher spectral power. The dashed lines are layer boundary positions (</w:t>
      </w:r>
      <w:r>
        <w:rPr>
          <w:i/>
          <w:iCs/>
        </w:rPr>
        <w:t>z</w:t>
      </w:r>
      <w:r>
        <w:t>) chosen by visual inspection of the evolutive harmonic analysis results.</w:t>
      </w:r>
    </w:p>
    <w:p w14:paraId="51CA37A5" w14:textId="77777777" w:rsidR="00407EA0" w:rsidRDefault="00000000">
      <w:pPr>
        <w:pStyle w:val="BodyText"/>
      </w:pPr>
      <w:r>
        <w:t xml:space="preserve">We tested our model using two synthetic data sets that consist of a true age-depth model and a cyclostratigraphic record. The first (TD1) consists of a simple sedimentation model that was used as an earth system transfer function to distort an eccentricity-tilt-precession time </w:t>
      </w:r>
      <w:r>
        <w:lastRenderedPageBreak/>
        <w:t xml:space="preserve">series to generate a synthetic cyclostratigraphic record (Figure 2). </w:t>
      </w:r>
      <w:r w:rsidRPr="0037153A">
        <w:rPr>
          <w:b/>
          <w:bCs/>
          <w:highlight w:val="yellow"/>
        </w:rPr>
        <w:t>Steve please fill in details here on the construction of this data set</w:t>
      </w:r>
      <w:r>
        <w:t xml:space="preserve">. The second (CIP2), was originally published by Sinnesael et al. (2019) as a testing exercise for the Cyclostratigraphy Intercomparison Project which assessed the robustness and reproducibility of different cyclostratigraphic methods. The CIP2 dataset was designed to mimic a Pleistocene proxy record with multiple complications including nonlinear cyclical patterns and a substantial hiatus. For full details on the construction of CIP2 see Sinnesael et al. (2019) and at </w:t>
      </w:r>
      <w:hyperlink r:id="rId10">
        <w:r>
          <w:rPr>
            <w:rStyle w:val="Hyperlink"/>
          </w:rPr>
          <w:t>cyclostratigraphy.org</w:t>
        </w:r>
      </w:hyperlink>
      <w:r>
        <w:t>. For each of our testing schemes, outlined below, we used the true age-depth model to generate synthetic radioisotopic dates from varying stratigraphic positions. When paired with the cyclostratigraphic data these dates form our model inputs.</w:t>
      </w:r>
    </w:p>
    <w:p w14:paraId="55C59214" w14:textId="77777777" w:rsidR="00407EA0" w:rsidRDefault="00000000">
      <w:pPr>
        <w:pStyle w:val="BodyText"/>
      </w:pPr>
      <w:r>
        <w:t>We assessed model performance using two metrics. First, we assessed model accuracy and precision by calculating the proportion of the true age-depth model that fell within the 95% credible interval (95% CI) of our model posterior. We assume that a well performing model should contain the true age model in most cases. This method that has been used previously to assess performance of existing Bayesian age-depth models (Parnell et al., 2011; Haslett and Parnell, 2008). Second we monitored the variability of the model median (50%) and lower and upper bounds (2.5% and 97.5%) of the credible interval.</w:t>
      </w:r>
    </w:p>
    <w:p w14:paraId="1781DAA4" w14:textId="77777777" w:rsidR="00407EA0" w:rsidRDefault="00000000">
      <w:pPr>
        <w:pStyle w:val="Heading3"/>
      </w:pPr>
      <w:bookmarkStart w:id="19" w:name="sec:stability"/>
      <w:r>
        <w:t>Reproducibility and Stability</w:t>
      </w:r>
    </w:p>
    <w:p w14:paraId="6BAD8318" w14:textId="77777777" w:rsidR="00407EA0" w:rsidRDefault="00000000">
      <w:pPr>
        <w:pStyle w:val="TableCaption"/>
      </w:pPr>
      <w:bookmarkStart w:id="20" w:name="tbl:testing_dates"/>
      <w:r>
        <w:t xml:space="preserve">Table 3: Dates used as inputs for reproducibility &amp; stability testing (TD1 and CIP2) and for the Bridge Creek Limestone (BCL) case study. The BCL </w:t>
      </w:r>
      <w:r>
        <w:rPr>
          <w:vertAlign w:val="superscript"/>
        </w:rPr>
        <w:t>40</w:t>
      </w:r>
      <w:r>
        <w:t>Ar/</w:t>
      </w:r>
      <w:r>
        <w:rPr>
          <w:vertAlign w:val="superscript"/>
        </w:rPr>
        <w:t>39</w:t>
      </w:r>
      <w:r>
        <w:t xml:space="preserve">Ar ages were originally reported by Meyers et al. (2012) </w:t>
      </w:r>
      <w:r w:rsidRPr="0037153A">
        <w:rPr>
          <w:b/>
          <w:bCs/>
          <w:highlight w:val="yellow"/>
        </w:rPr>
        <w:t>(Is this correct?)</w:t>
      </w:r>
      <w:r>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84"/>
        <w:gridCol w:w="1868"/>
        <w:gridCol w:w="2126"/>
        <w:gridCol w:w="2410"/>
      </w:tblGrid>
      <w:tr w:rsidR="00407EA0" w14:paraId="1B2CBE52" w14:textId="77777777" w:rsidTr="00766F20">
        <w:trPr>
          <w:tblHeader/>
        </w:trPr>
        <w:tc>
          <w:tcPr>
            <w:tcW w:w="1784" w:type="dxa"/>
          </w:tcPr>
          <w:p w14:paraId="7A8B0E6D" w14:textId="77777777" w:rsidR="00407EA0" w:rsidRDefault="00000000" w:rsidP="00BF1322">
            <w:pPr>
              <w:pStyle w:val="Compact"/>
            </w:pPr>
            <w:r>
              <w:t>Data Set</w:t>
            </w:r>
          </w:p>
        </w:tc>
        <w:tc>
          <w:tcPr>
            <w:tcW w:w="1868" w:type="dxa"/>
          </w:tcPr>
          <w:p w14:paraId="43B55C37" w14:textId="77777777" w:rsidR="00407EA0" w:rsidRDefault="00000000">
            <w:pPr>
              <w:pStyle w:val="Compact"/>
              <w:jc w:val="center"/>
            </w:pPr>
            <w:r>
              <w:t>Sample</w:t>
            </w:r>
          </w:p>
        </w:tc>
        <w:tc>
          <w:tcPr>
            <w:tcW w:w="2126" w:type="dxa"/>
          </w:tcPr>
          <w:p w14:paraId="1F9F841F" w14:textId="77777777" w:rsidR="00407EA0" w:rsidRDefault="00000000">
            <w:pPr>
              <w:pStyle w:val="Compact"/>
              <w:jc w:val="center"/>
            </w:pPr>
            <w:r>
              <w:t>Age±1σ (Ma)</w:t>
            </w:r>
          </w:p>
        </w:tc>
        <w:tc>
          <w:tcPr>
            <w:tcW w:w="2410" w:type="dxa"/>
          </w:tcPr>
          <w:p w14:paraId="459C6072" w14:textId="77777777" w:rsidR="00407EA0" w:rsidRDefault="00000000">
            <w:pPr>
              <w:pStyle w:val="Compact"/>
              <w:jc w:val="center"/>
            </w:pPr>
            <w:r>
              <w:t>Position (m)</w:t>
            </w:r>
          </w:p>
        </w:tc>
      </w:tr>
      <w:tr w:rsidR="00407EA0" w14:paraId="62F27F53" w14:textId="77777777" w:rsidTr="00766F20">
        <w:tc>
          <w:tcPr>
            <w:tcW w:w="1784" w:type="dxa"/>
          </w:tcPr>
          <w:p w14:paraId="1E8E1F84" w14:textId="77777777" w:rsidR="00407EA0" w:rsidRDefault="00000000" w:rsidP="00BF1322">
            <w:pPr>
              <w:pStyle w:val="Compact"/>
            </w:pPr>
            <w:r>
              <w:t>TD1</w:t>
            </w:r>
          </w:p>
        </w:tc>
        <w:tc>
          <w:tcPr>
            <w:tcW w:w="1868" w:type="dxa"/>
          </w:tcPr>
          <w:p w14:paraId="4D5BC89E" w14:textId="77777777" w:rsidR="00407EA0" w:rsidRDefault="00000000">
            <w:pPr>
              <w:pStyle w:val="Compact"/>
              <w:jc w:val="center"/>
            </w:pPr>
            <w:r>
              <w:t>A</w:t>
            </w:r>
          </w:p>
        </w:tc>
        <w:tc>
          <w:tcPr>
            <w:tcW w:w="2126" w:type="dxa"/>
          </w:tcPr>
          <w:p w14:paraId="552C420B" w14:textId="77777777" w:rsidR="00407EA0" w:rsidRDefault="00000000">
            <w:pPr>
              <w:pStyle w:val="Compact"/>
              <w:jc w:val="center"/>
            </w:pPr>
            <w:r>
              <w:t>0.069±0.01</w:t>
            </w:r>
          </w:p>
        </w:tc>
        <w:tc>
          <w:tcPr>
            <w:tcW w:w="2410" w:type="dxa"/>
          </w:tcPr>
          <w:p w14:paraId="1DEE8860" w14:textId="77777777" w:rsidR="00407EA0" w:rsidRDefault="00000000">
            <w:pPr>
              <w:pStyle w:val="Compact"/>
              <w:jc w:val="center"/>
            </w:pPr>
            <w:r>
              <w:t>0.64</w:t>
            </w:r>
          </w:p>
        </w:tc>
      </w:tr>
      <w:tr w:rsidR="00407EA0" w14:paraId="75026C1B" w14:textId="77777777" w:rsidTr="00766F20">
        <w:tc>
          <w:tcPr>
            <w:tcW w:w="1784" w:type="dxa"/>
          </w:tcPr>
          <w:p w14:paraId="0C0B72B0" w14:textId="77777777" w:rsidR="00407EA0" w:rsidRDefault="00407EA0">
            <w:pPr>
              <w:pStyle w:val="Compact"/>
            </w:pPr>
          </w:p>
        </w:tc>
        <w:tc>
          <w:tcPr>
            <w:tcW w:w="1868" w:type="dxa"/>
          </w:tcPr>
          <w:p w14:paraId="2E3B941E" w14:textId="77777777" w:rsidR="00407EA0" w:rsidRDefault="00000000">
            <w:pPr>
              <w:pStyle w:val="Compact"/>
              <w:jc w:val="center"/>
            </w:pPr>
            <w:r>
              <w:t>B</w:t>
            </w:r>
          </w:p>
        </w:tc>
        <w:tc>
          <w:tcPr>
            <w:tcW w:w="2126" w:type="dxa"/>
          </w:tcPr>
          <w:p w14:paraId="3EAE15FF" w14:textId="77777777" w:rsidR="00407EA0" w:rsidRDefault="00000000">
            <w:pPr>
              <w:pStyle w:val="Compact"/>
              <w:jc w:val="center"/>
            </w:pPr>
            <w:r>
              <w:t>0.520±0.02</w:t>
            </w:r>
          </w:p>
        </w:tc>
        <w:tc>
          <w:tcPr>
            <w:tcW w:w="2410" w:type="dxa"/>
          </w:tcPr>
          <w:p w14:paraId="378E9BF9" w14:textId="77777777" w:rsidR="00407EA0" w:rsidRDefault="00000000">
            <w:pPr>
              <w:pStyle w:val="Compact"/>
              <w:jc w:val="center"/>
            </w:pPr>
            <w:r>
              <w:t>5.17</w:t>
            </w:r>
          </w:p>
        </w:tc>
      </w:tr>
      <w:tr w:rsidR="00407EA0" w14:paraId="6DF31B20" w14:textId="77777777" w:rsidTr="00766F20">
        <w:tc>
          <w:tcPr>
            <w:tcW w:w="1784" w:type="dxa"/>
          </w:tcPr>
          <w:p w14:paraId="78FA410A" w14:textId="77777777" w:rsidR="00407EA0" w:rsidRDefault="00407EA0">
            <w:pPr>
              <w:pStyle w:val="Compact"/>
            </w:pPr>
          </w:p>
        </w:tc>
        <w:tc>
          <w:tcPr>
            <w:tcW w:w="1868" w:type="dxa"/>
          </w:tcPr>
          <w:p w14:paraId="339E18F1" w14:textId="77777777" w:rsidR="00407EA0" w:rsidRDefault="00000000">
            <w:pPr>
              <w:pStyle w:val="Compact"/>
              <w:jc w:val="center"/>
            </w:pPr>
            <w:r>
              <w:t>C</w:t>
            </w:r>
          </w:p>
        </w:tc>
        <w:tc>
          <w:tcPr>
            <w:tcW w:w="2126" w:type="dxa"/>
          </w:tcPr>
          <w:p w14:paraId="532F9637" w14:textId="77777777" w:rsidR="00407EA0" w:rsidRDefault="00000000">
            <w:pPr>
              <w:pStyle w:val="Compact"/>
              <w:jc w:val="center"/>
            </w:pPr>
            <w:r>
              <w:t>1.790±0.05</w:t>
            </w:r>
          </w:p>
        </w:tc>
        <w:tc>
          <w:tcPr>
            <w:tcW w:w="2410" w:type="dxa"/>
          </w:tcPr>
          <w:p w14:paraId="63A28C74" w14:textId="77777777" w:rsidR="00407EA0" w:rsidRDefault="00000000">
            <w:pPr>
              <w:pStyle w:val="Compact"/>
              <w:jc w:val="center"/>
            </w:pPr>
            <w:r>
              <w:t>17.48</w:t>
            </w:r>
          </w:p>
        </w:tc>
      </w:tr>
      <w:tr w:rsidR="00407EA0" w14:paraId="15667686" w14:textId="77777777" w:rsidTr="00766F20">
        <w:tc>
          <w:tcPr>
            <w:tcW w:w="1784" w:type="dxa"/>
          </w:tcPr>
          <w:p w14:paraId="2264846D" w14:textId="77777777" w:rsidR="00407EA0" w:rsidRDefault="00000000" w:rsidP="00BF1322">
            <w:pPr>
              <w:pStyle w:val="Compact"/>
            </w:pPr>
            <w:r>
              <w:t>CIP2</w:t>
            </w:r>
          </w:p>
        </w:tc>
        <w:tc>
          <w:tcPr>
            <w:tcW w:w="1868" w:type="dxa"/>
          </w:tcPr>
          <w:p w14:paraId="05390F5C" w14:textId="77777777" w:rsidR="00407EA0" w:rsidRDefault="00000000">
            <w:pPr>
              <w:pStyle w:val="Compact"/>
              <w:jc w:val="center"/>
            </w:pPr>
            <w:r>
              <w:t>E</w:t>
            </w:r>
          </w:p>
        </w:tc>
        <w:tc>
          <w:tcPr>
            <w:tcW w:w="2126" w:type="dxa"/>
          </w:tcPr>
          <w:p w14:paraId="790EF404" w14:textId="77777777" w:rsidR="00407EA0" w:rsidRDefault="00000000">
            <w:pPr>
              <w:pStyle w:val="Compact"/>
              <w:jc w:val="center"/>
            </w:pPr>
            <w:r>
              <w:t>0.062±0.009</w:t>
            </w:r>
          </w:p>
        </w:tc>
        <w:tc>
          <w:tcPr>
            <w:tcW w:w="2410" w:type="dxa"/>
          </w:tcPr>
          <w:p w14:paraId="4DB4351D" w14:textId="77777777" w:rsidR="00407EA0" w:rsidRDefault="00000000">
            <w:pPr>
              <w:pStyle w:val="Compact"/>
              <w:jc w:val="center"/>
            </w:pPr>
            <w:r>
              <w:t>1.24</w:t>
            </w:r>
          </w:p>
        </w:tc>
      </w:tr>
      <w:tr w:rsidR="00407EA0" w14:paraId="15F63F07" w14:textId="77777777" w:rsidTr="00766F20">
        <w:tc>
          <w:tcPr>
            <w:tcW w:w="1784" w:type="dxa"/>
          </w:tcPr>
          <w:p w14:paraId="16DDB61E" w14:textId="77777777" w:rsidR="00407EA0" w:rsidRDefault="00407EA0">
            <w:pPr>
              <w:pStyle w:val="Compact"/>
            </w:pPr>
          </w:p>
        </w:tc>
        <w:tc>
          <w:tcPr>
            <w:tcW w:w="1868" w:type="dxa"/>
          </w:tcPr>
          <w:p w14:paraId="52A062A8" w14:textId="77777777" w:rsidR="00407EA0" w:rsidRDefault="00000000">
            <w:pPr>
              <w:pStyle w:val="Compact"/>
              <w:jc w:val="center"/>
            </w:pPr>
            <w:r>
              <w:t>F</w:t>
            </w:r>
          </w:p>
        </w:tc>
        <w:tc>
          <w:tcPr>
            <w:tcW w:w="2126" w:type="dxa"/>
          </w:tcPr>
          <w:p w14:paraId="6DF5A4FD" w14:textId="77777777" w:rsidR="00407EA0" w:rsidRDefault="00000000">
            <w:pPr>
              <w:pStyle w:val="Compact"/>
              <w:jc w:val="center"/>
            </w:pPr>
            <w:r>
              <w:t>0.820±0.012</w:t>
            </w:r>
          </w:p>
        </w:tc>
        <w:tc>
          <w:tcPr>
            <w:tcW w:w="2410" w:type="dxa"/>
          </w:tcPr>
          <w:p w14:paraId="03C77593" w14:textId="77777777" w:rsidR="00407EA0" w:rsidRDefault="00000000">
            <w:pPr>
              <w:pStyle w:val="Compact"/>
              <w:jc w:val="center"/>
            </w:pPr>
            <w:r>
              <w:t>3.49</w:t>
            </w:r>
          </w:p>
        </w:tc>
      </w:tr>
      <w:tr w:rsidR="00407EA0" w14:paraId="3AFF9A60" w14:textId="77777777" w:rsidTr="00766F20">
        <w:tc>
          <w:tcPr>
            <w:tcW w:w="1784" w:type="dxa"/>
          </w:tcPr>
          <w:p w14:paraId="22DCB2FB" w14:textId="77777777" w:rsidR="00407EA0" w:rsidRDefault="00407EA0">
            <w:pPr>
              <w:pStyle w:val="Compact"/>
            </w:pPr>
          </w:p>
        </w:tc>
        <w:tc>
          <w:tcPr>
            <w:tcW w:w="1868" w:type="dxa"/>
          </w:tcPr>
          <w:p w14:paraId="07CB0CF2" w14:textId="77777777" w:rsidR="00407EA0" w:rsidRDefault="00000000">
            <w:pPr>
              <w:pStyle w:val="Compact"/>
              <w:jc w:val="center"/>
            </w:pPr>
            <w:r>
              <w:t>G</w:t>
            </w:r>
          </w:p>
        </w:tc>
        <w:tc>
          <w:tcPr>
            <w:tcW w:w="2126" w:type="dxa"/>
          </w:tcPr>
          <w:p w14:paraId="13BC5784" w14:textId="77777777" w:rsidR="00407EA0" w:rsidRDefault="00000000">
            <w:pPr>
              <w:pStyle w:val="Compact"/>
              <w:jc w:val="center"/>
            </w:pPr>
            <w:r>
              <w:t>1.290±0.019</w:t>
            </w:r>
          </w:p>
        </w:tc>
        <w:tc>
          <w:tcPr>
            <w:tcW w:w="2410" w:type="dxa"/>
          </w:tcPr>
          <w:p w14:paraId="3B760DE3" w14:textId="77777777" w:rsidR="00407EA0" w:rsidRDefault="00000000">
            <w:pPr>
              <w:pStyle w:val="Compact"/>
              <w:jc w:val="center"/>
            </w:pPr>
            <w:r>
              <w:t>6.99</w:t>
            </w:r>
          </w:p>
        </w:tc>
      </w:tr>
      <w:tr w:rsidR="00407EA0" w14:paraId="490CBB08" w14:textId="77777777" w:rsidTr="00766F20">
        <w:tc>
          <w:tcPr>
            <w:tcW w:w="1784" w:type="dxa"/>
          </w:tcPr>
          <w:p w14:paraId="7AD237B4" w14:textId="77777777" w:rsidR="00407EA0" w:rsidRDefault="00407EA0" w:rsidP="00BF1322">
            <w:pPr>
              <w:pStyle w:val="Compact"/>
              <w:ind w:firstLine="0"/>
            </w:pPr>
          </w:p>
        </w:tc>
        <w:tc>
          <w:tcPr>
            <w:tcW w:w="1868" w:type="dxa"/>
          </w:tcPr>
          <w:p w14:paraId="6DAFE4A1" w14:textId="77777777" w:rsidR="00407EA0" w:rsidRDefault="00000000">
            <w:pPr>
              <w:pStyle w:val="Compact"/>
              <w:jc w:val="center"/>
            </w:pPr>
            <w:r>
              <w:t>H</w:t>
            </w:r>
          </w:p>
        </w:tc>
        <w:tc>
          <w:tcPr>
            <w:tcW w:w="2126" w:type="dxa"/>
          </w:tcPr>
          <w:p w14:paraId="0FE2F897" w14:textId="77777777" w:rsidR="00407EA0" w:rsidRDefault="00000000">
            <w:pPr>
              <w:pStyle w:val="Compact"/>
              <w:jc w:val="center"/>
            </w:pPr>
            <w:r>
              <w:t>1.460±0.022</w:t>
            </w:r>
          </w:p>
        </w:tc>
        <w:tc>
          <w:tcPr>
            <w:tcW w:w="2410" w:type="dxa"/>
          </w:tcPr>
          <w:p w14:paraId="11677553" w14:textId="77777777" w:rsidR="00407EA0" w:rsidRDefault="00000000">
            <w:pPr>
              <w:pStyle w:val="Compact"/>
              <w:jc w:val="center"/>
            </w:pPr>
            <w:r>
              <w:t>9.49</w:t>
            </w:r>
          </w:p>
        </w:tc>
      </w:tr>
      <w:tr w:rsidR="00407EA0" w14:paraId="1CD4BF15" w14:textId="77777777" w:rsidTr="00766F20">
        <w:tc>
          <w:tcPr>
            <w:tcW w:w="1784" w:type="dxa"/>
          </w:tcPr>
          <w:p w14:paraId="086FFF7F" w14:textId="77777777" w:rsidR="00407EA0" w:rsidRDefault="00000000" w:rsidP="00BF1322">
            <w:pPr>
              <w:pStyle w:val="Compact"/>
            </w:pPr>
            <w:r>
              <w:t>BCL</w:t>
            </w:r>
          </w:p>
        </w:tc>
        <w:tc>
          <w:tcPr>
            <w:tcW w:w="1868" w:type="dxa"/>
          </w:tcPr>
          <w:p w14:paraId="4BA95998" w14:textId="77777777" w:rsidR="00407EA0" w:rsidRDefault="00000000">
            <w:pPr>
              <w:pStyle w:val="Compact"/>
              <w:jc w:val="center"/>
            </w:pPr>
            <w:r>
              <w:t>bent A</w:t>
            </w:r>
          </w:p>
        </w:tc>
        <w:tc>
          <w:tcPr>
            <w:tcW w:w="2126" w:type="dxa"/>
          </w:tcPr>
          <w:p w14:paraId="3ADEE75F" w14:textId="77777777" w:rsidR="00407EA0" w:rsidRDefault="00000000">
            <w:pPr>
              <w:pStyle w:val="Compact"/>
              <w:jc w:val="center"/>
            </w:pPr>
            <w:r>
              <w:t>94.20±0.14</w:t>
            </w:r>
          </w:p>
        </w:tc>
        <w:tc>
          <w:tcPr>
            <w:tcW w:w="2410" w:type="dxa"/>
          </w:tcPr>
          <w:p w14:paraId="145F0879" w14:textId="77777777" w:rsidR="00407EA0" w:rsidRDefault="00000000">
            <w:pPr>
              <w:pStyle w:val="Compact"/>
              <w:jc w:val="center"/>
            </w:pPr>
            <w:r>
              <w:t>1.62</w:t>
            </w:r>
          </w:p>
        </w:tc>
      </w:tr>
      <w:tr w:rsidR="00407EA0" w14:paraId="72A898B5" w14:textId="77777777" w:rsidTr="00766F20">
        <w:tc>
          <w:tcPr>
            <w:tcW w:w="1784" w:type="dxa"/>
          </w:tcPr>
          <w:p w14:paraId="28B35A27" w14:textId="77777777" w:rsidR="00407EA0" w:rsidRDefault="00407EA0">
            <w:pPr>
              <w:pStyle w:val="Compact"/>
            </w:pPr>
          </w:p>
        </w:tc>
        <w:tc>
          <w:tcPr>
            <w:tcW w:w="1868" w:type="dxa"/>
          </w:tcPr>
          <w:p w14:paraId="039655A0" w14:textId="77777777" w:rsidR="00407EA0" w:rsidRDefault="00000000">
            <w:pPr>
              <w:pStyle w:val="Compact"/>
              <w:jc w:val="center"/>
            </w:pPr>
            <w:r>
              <w:t>bent B</w:t>
            </w:r>
          </w:p>
        </w:tc>
        <w:tc>
          <w:tcPr>
            <w:tcW w:w="2126" w:type="dxa"/>
          </w:tcPr>
          <w:p w14:paraId="395F8B3B" w14:textId="77777777" w:rsidR="00407EA0" w:rsidRDefault="00000000">
            <w:pPr>
              <w:pStyle w:val="Compact"/>
              <w:jc w:val="center"/>
            </w:pPr>
            <w:r>
              <w:t>94.10±0.14</w:t>
            </w:r>
          </w:p>
        </w:tc>
        <w:tc>
          <w:tcPr>
            <w:tcW w:w="2410" w:type="dxa"/>
          </w:tcPr>
          <w:p w14:paraId="216D2170" w14:textId="77777777" w:rsidR="00407EA0" w:rsidRDefault="00000000">
            <w:pPr>
              <w:pStyle w:val="Compact"/>
              <w:jc w:val="center"/>
            </w:pPr>
            <w:r>
              <w:t>3.3</w:t>
            </w:r>
          </w:p>
        </w:tc>
      </w:tr>
      <w:tr w:rsidR="00407EA0" w14:paraId="545350C7" w14:textId="77777777" w:rsidTr="00766F20">
        <w:tc>
          <w:tcPr>
            <w:tcW w:w="1784" w:type="dxa"/>
          </w:tcPr>
          <w:p w14:paraId="48F73B7C" w14:textId="77777777" w:rsidR="00407EA0" w:rsidRDefault="00407EA0">
            <w:pPr>
              <w:pStyle w:val="Compact"/>
            </w:pPr>
          </w:p>
        </w:tc>
        <w:tc>
          <w:tcPr>
            <w:tcW w:w="1868" w:type="dxa"/>
          </w:tcPr>
          <w:p w14:paraId="4FB1D4E5" w14:textId="77777777" w:rsidR="00407EA0" w:rsidRDefault="00000000">
            <w:pPr>
              <w:pStyle w:val="Compact"/>
              <w:jc w:val="center"/>
            </w:pPr>
            <w:r>
              <w:t>bent C</w:t>
            </w:r>
          </w:p>
        </w:tc>
        <w:tc>
          <w:tcPr>
            <w:tcW w:w="2126" w:type="dxa"/>
          </w:tcPr>
          <w:p w14:paraId="74412EA7" w14:textId="77777777" w:rsidR="00407EA0" w:rsidRDefault="00000000">
            <w:pPr>
              <w:pStyle w:val="Compact"/>
              <w:jc w:val="center"/>
            </w:pPr>
            <w:r>
              <w:t>93.79±0.13</w:t>
            </w:r>
          </w:p>
        </w:tc>
        <w:tc>
          <w:tcPr>
            <w:tcW w:w="2410" w:type="dxa"/>
          </w:tcPr>
          <w:p w14:paraId="03A7B83B" w14:textId="77777777" w:rsidR="00407EA0" w:rsidRDefault="00000000">
            <w:pPr>
              <w:pStyle w:val="Compact"/>
              <w:jc w:val="center"/>
            </w:pPr>
            <w:r>
              <w:t>5.95</w:t>
            </w:r>
          </w:p>
        </w:tc>
      </w:tr>
      <w:tr w:rsidR="00407EA0" w14:paraId="1DE4636E" w14:textId="77777777" w:rsidTr="00766F20">
        <w:tc>
          <w:tcPr>
            <w:tcW w:w="1784" w:type="dxa"/>
          </w:tcPr>
          <w:p w14:paraId="1B4EB59E" w14:textId="77777777" w:rsidR="00407EA0" w:rsidRDefault="00407EA0">
            <w:pPr>
              <w:pStyle w:val="Compact"/>
            </w:pPr>
          </w:p>
        </w:tc>
        <w:tc>
          <w:tcPr>
            <w:tcW w:w="1868" w:type="dxa"/>
          </w:tcPr>
          <w:p w14:paraId="359A2147" w14:textId="77777777" w:rsidR="00407EA0" w:rsidRDefault="00000000">
            <w:pPr>
              <w:pStyle w:val="Compact"/>
              <w:jc w:val="center"/>
            </w:pPr>
            <w:commentRangeStart w:id="21"/>
            <w:r>
              <w:t>bent D</w:t>
            </w:r>
            <w:commentRangeEnd w:id="21"/>
            <w:r w:rsidR="00766F20">
              <w:rPr>
                <w:rStyle w:val="CommentReference"/>
              </w:rPr>
              <w:commentReference w:id="21"/>
            </w:r>
          </w:p>
        </w:tc>
        <w:tc>
          <w:tcPr>
            <w:tcW w:w="2126" w:type="dxa"/>
          </w:tcPr>
          <w:p w14:paraId="74FB6114" w14:textId="77777777" w:rsidR="00407EA0" w:rsidRDefault="00000000">
            <w:pPr>
              <w:pStyle w:val="Compact"/>
              <w:jc w:val="center"/>
            </w:pPr>
            <w:r>
              <w:t>93.67±0.15</w:t>
            </w:r>
          </w:p>
        </w:tc>
        <w:tc>
          <w:tcPr>
            <w:tcW w:w="2410" w:type="dxa"/>
          </w:tcPr>
          <w:p w14:paraId="6AC8369F" w14:textId="77777777" w:rsidR="00407EA0" w:rsidRDefault="00000000">
            <w:pPr>
              <w:pStyle w:val="Compact"/>
              <w:jc w:val="center"/>
            </w:pPr>
            <w:r>
              <w:t>6.98</w:t>
            </w:r>
          </w:p>
        </w:tc>
      </w:tr>
    </w:tbl>
    <w:bookmarkEnd w:id="20"/>
    <w:p w14:paraId="5DC73B91" w14:textId="77777777" w:rsidR="00407EA0" w:rsidRDefault="00000000">
      <w:pPr>
        <w:pStyle w:val="BodyText"/>
      </w:pPr>
      <w:r>
        <w:t>We generated 1,000 individual age depth models for each testing dataset to assess model reproducibility and stability. We used the same input data for each testing set (cyclostratigraphy (see Figure 2), radioisotopic dates, astrologic frequencies; see: Table 3). Each simulation ran for 10,000 MCMC iterations with the initial 1,000 steps discarded to allow for model convergence and sufficient exploration of parameter space.</w:t>
      </w:r>
    </w:p>
    <w:p w14:paraId="3F4503E4" w14:textId="77777777" w:rsidR="00407EA0" w:rsidRDefault="00000000">
      <w:pPr>
        <w:pStyle w:val="Heading3"/>
      </w:pPr>
      <w:bookmarkStart w:id="22" w:name="sensitivity-testing"/>
      <w:bookmarkEnd w:id="19"/>
      <w:r>
        <w:t>Sensitivity Testing</w:t>
      </w:r>
    </w:p>
    <w:p w14:paraId="55B30FFA" w14:textId="77777777" w:rsidR="00407EA0" w:rsidRDefault="00000000">
      <w:pPr>
        <w:pStyle w:val="FirstParagraph"/>
      </w:pPr>
      <w:r>
        <w:t>We tested the sensitivity of our model to both the number and stratigraphic position of radioisotopic dates. For each of our testing data sets, we randomly generated a set of dates from the underlying sedimentation model using Monte Carlo methods which were used as model inputs along with the synthetic astrochronologic records. We repeated this procedure 1,000 times using 2, 4, 6, or 8 dates for a total of 4,000 test models per testing data set (i.e. 4,000 for CIP2 and TD1). Each simulation ran for 10,000 MCMC iterations with the initial 1,000 steps discarded.</w:t>
      </w:r>
    </w:p>
    <w:p w14:paraId="5178D4F8" w14:textId="77777777" w:rsidR="00407EA0" w:rsidRDefault="00000000">
      <w:pPr>
        <w:pStyle w:val="BodyText"/>
      </w:pPr>
      <w:r>
        <w:t>Since the CIP2 data set includes a significant hiatus (Sinnesael et al., 2019) we investigated the influence of the number and stratigraphic position of radioisotopic dates on the quantification of the hiatus duration. Currently, estimating hiatus duration requires at least one date above and below the stratigraphic position of a hiatus. Consequently, we added an additional constraint when generating synthetic dates from the CIP2 dataset to ensure the the hiatus was always bracketed by dates. For each of the sensitivity validation models (2, 4, 6, and 8 dates) we calculated the stratigraphic distance between the hiatus and the nearest date.</w:t>
      </w:r>
    </w:p>
    <w:p w14:paraId="238EFE32" w14:textId="77777777" w:rsidR="00407EA0" w:rsidRDefault="00000000">
      <w:pPr>
        <w:pStyle w:val="Heading1"/>
      </w:pPr>
      <w:bookmarkStart w:id="23" w:name="results"/>
      <w:bookmarkEnd w:id="8"/>
      <w:bookmarkEnd w:id="18"/>
      <w:bookmarkEnd w:id="22"/>
      <w:r>
        <w:lastRenderedPageBreak/>
        <w:t>Results</w:t>
      </w:r>
    </w:p>
    <w:p w14:paraId="3FBA7E4F" w14:textId="519E4DB5" w:rsidR="00407EA0" w:rsidRDefault="00000000">
      <w:pPr>
        <w:pStyle w:val="Heading2"/>
      </w:pPr>
      <w:bookmarkStart w:id="24" w:name="model-validation"/>
      <w:r>
        <w:t>Model Validation</w:t>
      </w:r>
    </w:p>
    <w:p w14:paraId="708C74BD" w14:textId="4D1842F1" w:rsidR="00407EA0" w:rsidRDefault="002668CA" w:rsidP="002668CA">
      <w:pPr>
        <w:pStyle w:val="CaptionedFigure"/>
        <w:jc w:val="center"/>
      </w:pPr>
      <w:r>
        <w:rPr>
          <w:noProof/>
        </w:rPr>
        <w:drawing>
          <wp:inline distT="0" distB="0" distL="0" distR="0" wp14:anchorId="36CD0552" wp14:editId="573E9DCC">
            <wp:extent cx="3105807" cy="5943211"/>
            <wp:effectExtent l="0" t="0" r="0" b="0"/>
            <wp:docPr id="442808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08591" name="Picture 442808591"/>
                    <pic:cNvPicPr/>
                  </pic:nvPicPr>
                  <pic:blipFill>
                    <a:blip r:embed="rId15">
                      <a:extLst>
                        <a:ext uri="{28A0092B-C50C-407E-A947-70E740481C1C}">
                          <a14:useLocalDpi xmlns:a14="http://schemas.microsoft.com/office/drawing/2010/main" val="0"/>
                        </a:ext>
                      </a:extLst>
                    </a:blip>
                    <a:stretch>
                      <a:fillRect/>
                    </a:stretch>
                  </pic:blipFill>
                  <pic:spPr>
                    <a:xfrm>
                      <a:off x="0" y="0"/>
                      <a:ext cx="3121776" cy="5973768"/>
                    </a:xfrm>
                    <a:prstGeom prst="rect">
                      <a:avLst/>
                    </a:prstGeom>
                  </pic:spPr>
                </pic:pic>
              </a:graphicData>
            </a:graphic>
          </wp:inline>
        </w:drawing>
      </w:r>
    </w:p>
    <w:p w14:paraId="2FFA11BF" w14:textId="77777777" w:rsidR="002668CA" w:rsidRDefault="002668CA" w:rsidP="00766F20">
      <w:pPr>
        <w:pStyle w:val="CaptionedFigure"/>
        <w:jc w:val="center"/>
      </w:pPr>
    </w:p>
    <w:p w14:paraId="576760E8" w14:textId="77777777" w:rsidR="00407EA0" w:rsidRDefault="00000000">
      <w:pPr>
        <w:pStyle w:val="ImageCaption"/>
      </w:pPr>
      <w:r>
        <w:t xml:space="preserve">Figure 3: Example age-depth models of the TD1 and CIP2 data sets with randomly placed dates shown as colored Gaussian distributions. The dates were randomly generated from the true age-depth model (dashed red line). The black line and shaded grey region are the </w:t>
      </w:r>
      <w:r>
        <w:rPr>
          <w:rStyle w:val="VerbatimChar"/>
        </w:rPr>
        <w:t>astroBayes</w:t>
      </w:r>
      <w:r>
        <w:t xml:space="preserve"> model median and 95% credible interval. The dark grey solid and dashed lines are </w:t>
      </w:r>
      <w:r>
        <w:rPr>
          <w:rStyle w:val="VerbatimChar"/>
        </w:rPr>
        <w:t>Bchron</w:t>
      </w:r>
      <w:r>
        <w:t xml:space="preserve"> models generated using only the dates as model inputs. Panels A - D) 2, 4, 6, and 8 date models for the TD1 data. Panels E - H) 2, 4, 6, and 8 date models for the CIP2 data. Note that the left and right columns have different vertical and horizontal scales.</w:t>
      </w:r>
    </w:p>
    <w:p w14:paraId="33FD9400" w14:textId="77777777" w:rsidR="00407EA0" w:rsidRDefault="00000000">
      <w:pPr>
        <w:pStyle w:val="BodyText"/>
      </w:pPr>
      <w:r>
        <w:lastRenderedPageBreak/>
        <w:t xml:space="preserve">Reproducibility tests indicated that the </w:t>
      </w:r>
      <w:r>
        <w:rPr>
          <w:rStyle w:val="VerbatimChar"/>
        </w:rPr>
        <w:t>astroBayes</w:t>
      </w:r>
      <w:r>
        <w:t xml:space="preserve"> model converges quickly and its parameter estimates remain stable across model runs. Individual trace plots for for each parameter (sedimentation rates, anchor age, hiatus duration [CIP2 only]) for the TD1 and CIP2 data sets stabilized quickly and appeared visually well mixed indicating adequate exploration of parameter space (</w:t>
      </w:r>
      <w:r>
        <w:rPr>
          <w:b/>
          <w:bCs/>
        </w:rPr>
        <w:t>see supplements figures XYZ that don’t exist yet</w:t>
      </w:r>
      <w:r>
        <w:t>). Similarly, kernel density estimates of each parameter were indistinguishable among the 1,000 simulations. The model median and 95% credible interval were likewise stable, and varied by no more than ±0.0018 Ma; 2σ) for both testing data sets.</w:t>
      </w:r>
    </w:p>
    <w:p w14:paraId="2223972C" w14:textId="77777777" w:rsidR="00407EA0" w:rsidRDefault="00000000">
      <w:pPr>
        <w:pStyle w:val="BodyText"/>
      </w:pPr>
      <w:r>
        <w:t xml:space="preserve">Model accuracy does not appear to be particularly sensitive to the number or stratigraphic position of dates as the true age-depth model fell within the 95% credible interval of the </w:t>
      </w:r>
      <w:r>
        <w:rPr>
          <w:rStyle w:val="VerbatimChar"/>
        </w:rPr>
        <w:t>astroBayes</w:t>
      </w:r>
      <w:r>
        <w:t xml:space="preserve"> posterior 99% of the time with no clear bias towards greater or fewer dates (Figure 3). Similarly, for the CIP2 data set, other than the requirement that there is at least one date above and below the hiatus, the stratigraphic position of the dates does not appear to have a strong influence on hiatus quantification and in all cases the true hiatus duration (0.203 Ma) was contained within the 95% CI of the hiatus duration parameter (</w:t>
      </w:r>
      <w:r>
        <w:rPr>
          <w:i/>
          <w:iCs/>
        </w:rPr>
        <w:t>h</w:t>
      </w:r>
      <w:r>
        <w:t>; Figure 4).</w:t>
      </w:r>
    </w:p>
    <w:p w14:paraId="4A6B3E49" w14:textId="77777777" w:rsidR="00407EA0" w:rsidRDefault="00000000">
      <w:pPr>
        <w:pStyle w:val="Heading1"/>
      </w:pPr>
      <w:bookmarkStart w:id="25" w:name="discussion"/>
      <w:bookmarkEnd w:id="23"/>
      <w:bookmarkEnd w:id="24"/>
      <w:r>
        <w:t>Discussion</w:t>
      </w:r>
    </w:p>
    <w:p w14:paraId="0F41656B" w14:textId="77777777" w:rsidR="00407EA0" w:rsidRDefault="00000000">
      <w:pPr>
        <w:pStyle w:val="Heading2"/>
      </w:pPr>
      <w:bookmarkStart w:id="26" w:name="developing-sedimentation-models"/>
      <w:r>
        <w:t>Developing Sedimentation Models</w:t>
      </w:r>
    </w:p>
    <w:p w14:paraId="5ADC66C0" w14:textId="77777777" w:rsidR="00407EA0" w:rsidRDefault="00000000">
      <w:pPr>
        <w:pStyle w:val="FirstParagraph"/>
      </w:pPr>
      <w:r>
        <w:t>Clearly, our choice of a simple sedimentation model influences age-depth model construction. Since eq. 2 is calculated layer-by-layer, a limitation of our model is that each layer must contain enough time and astrochronologic data to resolve the frequencies (</w:t>
      </w:r>
      <w:r>
        <w:rPr>
          <w:i/>
          <w:iCs/>
        </w:rPr>
        <w:t>f</w:t>
      </w:r>
      <w:r>
        <w:t>) of interest. Both the astrochronologic and radioisotopic dates can inform sedimentation model construction. First, the dates can be used to calculate average sedimentation rates which to a first approximation can inform the duration of sedimentation model layers.</w:t>
      </w:r>
    </w:p>
    <w:p w14:paraId="545ECC62" w14:textId="77777777" w:rsidR="00407EA0" w:rsidRDefault="00000000">
      <w:pPr>
        <w:pStyle w:val="BodyText"/>
      </w:pPr>
      <w:r>
        <w:lastRenderedPageBreak/>
        <w:t>For example, Table 3 contains the dates and stratigraphic positions used for inputs for TD1 stability testing (see Section 3.3.1). A time difference of 1.72 Ma between the uppermost and lowermost dates separated by 16.84 meters implies an average sedimentation rate of ~9.8 m/Ma or alternatively ~0.1 Ma/m. A sedimentation model with a layer thickness of 1 meter would unable to resolve long (~0.405 Ma) and short (~0.1 Ma) eccentricity cycles, and would only weakly resolve obliquity (~0.41 Ma) and precession scale cycles (~0.02 Ma) within each layer. The choice of layer thickness is therefore dependent on both the average sedimentation rate and the dominant astrologic signals present in the data. Records dominated by eccentricity and obliquity scale fluctuations will necessarily require layers thicknesses that capture longer timescales than records dominated by high frequency precession scale variations.</w:t>
      </w:r>
    </w:p>
    <w:p w14:paraId="53D3B660" w14:textId="6BF20DA2" w:rsidR="00407EA0" w:rsidRDefault="00507D63" w:rsidP="00507D63">
      <w:pPr>
        <w:pStyle w:val="BodyText"/>
        <w:ind w:firstLine="0"/>
      </w:pPr>
      <w:r>
        <w:rPr>
          <w:b/>
          <w:bCs/>
          <w:highlight w:val="yellow"/>
        </w:rPr>
        <w:t>S</w:t>
      </w:r>
      <w:r w:rsidR="00000000" w:rsidRPr="00507D63">
        <w:rPr>
          <w:b/>
          <w:bCs/>
          <w:highlight w:val="yellow"/>
        </w:rPr>
        <w:t xml:space="preserve">ome discussion of </w:t>
      </w:r>
      <w:proofErr w:type="spellStart"/>
      <w:r w:rsidR="00000000" w:rsidRPr="00507D63">
        <w:rPr>
          <w:b/>
          <w:bCs/>
          <w:highlight w:val="yellow"/>
        </w:rPr>
        <w:t>nyquist</w:t>
      </w:r>
      <w:proofErr w:type="spellEnd"/>
      <w:r w:rsidR="00000000" w:rsidRPr="00507D63">
        <w:rPr>
          <w:b/>
          <w:bCs/>
          <w:highlight w:val="yellow"/>
        </w:rPr>
        <w:t xml:space="preserve"> frequency, sampling rates, etc could go here </w:t>
      </w:r>
      <w:r w:rsidRPr="00507D63">
        <w:rPr>
          <w:b/>
          <w:bCs/>
          <w:highlight w:val="yellow"/>
        </w:rPr>
        <w:t>too.</w:t>
      </w:r>
    </w:p>
    <w:p w14:paraId="7C08547E" w14:textId="77777777" w:rsidR="00407EA0" w:rsidRDefault="00000000">
      <w:pPr>
        <w:pStyle w:val="Heading2"/>
      </w:pPr>
      <w:bookmarkStart w:id="27" w:name="hiatus-duration-estimation"/>
      <w:bookmarkEnd w:id="26"/>
      <w:r>
        <w:t>Hiatus Duration Estimation</w:t>
      </w:r>
    </w:p>
    <w:p w14:paraId="669E5AE2" w14:textId="43F6E2B6" w:rsidR="00407EA0" w:rsidRDefault="00766F20">
      <w:pPr>
        <w:pStyle w:val="CaptionedFigure"/>
      </w:pPr>
      <w:r>
        <w:rPr>
          <w:noProof/>
        </w:rPr>
        <w:drawing>
          <wp:inline distT="0" distB="0" distL="0" distR="0" wp14:anchorId="71644019" wp14:editId="571E2EF9">
            <wp:extent cx="5943600" cy="1518920"/>
            <wp:effectExtent l="0" t="0" r="0" b="0"/>
            <wp:docPr id="1735742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42251" name="Picture 1735742251"/>
                    <pic:cNvPicPr/>
                  </pic:nvPicPr>
                  <pic:blipFill>
                    <a:blip r:embed="rId16">
                      <a:extLst>
                        <a:ext uri="{28A0092B-C50C-407E-A947-70E740481C1C}">
                          <a14:useLocalDpi xmlns:a14="http://schemas.microsoft.com/office/drawing/2010/main" val="0"/>
                        </a:ext>
                      </a:extLst>
                    </a:blip>
                    <a:stretch>
                      <a:fillRect/>
                    </a:stretch>
                  </pic:blipFill>
                  <pic:spPr>
                    <a:xfrm>
                      <a:off x="0" y="0"/>
                      <a:ext cx="5943600" cy="1518920"/>
                    </a:xfrm>
                    <a:prstGeom prst="rect">
                      <a:avLst/>
                    </a:prstGeom>
                  </pic:spPr>
                </pic:pic>
              </a:graphicData>
            </a:graphic>
          </wp:inline>
        </w:drawing>
      </w:r>
    </w:p>
    <w:p w14:paraId="64118CB5" w14:textId="77777777" w:rsidR="00407EA0" w:rsidRDefault="00000000">
      <w:pPr>
        <w:pStyle w:val="ImageCaption"/>
      </w:pPr>
      <w:r>
        <w:t>Figure 4: Hiatus duration versus the stratigraphic distance between the hiatus and the nearest radioisotope date for the CIP2 data set. The points are the model median and the error bars are the 95% credible interval. The red line is the true hiatus duration of 0.203 Ma. A-D) Models with 2, 4, 6, and 8 ages respectively.</w:t>
      </w:r>
    </w:p>
    <w:p w14:paraId="104FD838" w14:textId="77777777" w:rsidR="00407EA0" w:rsidRDefault="00000000">
      <w:pPr>
        <w:pStyle w:val="BodyText"/>
      </w:pPr>
      <w:r>
        <w:t xml:space="preserve">The ability to estimate hiatus durations is a significant strength of our modeling framework. Hiatuses in stratigraphic records significantly complicate the interpretation of biologic and geochemical proxy records. Detecting and resolving the duration of hiatuses is therefore important to ensuring the accuracy of age-depth models. In principle, hiatuses can be detected and quantified from cyclostratigraphic records alone (Meyers and Sageman, 2004; Meyers, </w:t>
      </w:r>
      <w:r>
        <w:lastRenderedPageBreak/>
        <w:t xml:space="preserve">2019). However, these approaches can be skewed towards minimum hiatus duration and are sensitive to distortions of the astrologic signal from other non-hiatus sources (Meyers and Sageman, 2004). </w:t>
      </w:r>
      <w:r>
        <w:rPr>
          <w:rStyle w:val="VerbatimChar"/>
        </w:rPr>
        <w:t>astroBayes</w:t>
      </w:r>
      <w:r>
        <w:t xml:space="preserve"> relies on both astrochronology and radioisotopic geochronology to estimate the duration of one or more hiatuses with astrochronology controlling the sedimentation rate (slope) and radioisotopic geochronology controlling the absolute duration (intercept(s)) of layers bounding hiatuses. Crucially this approach allows the estimation of robust uncertainties of hiatus duration. </w:t>
      </w:r>
      <w:r>
        <w:rPr>
          <w:b/>
          <w:bCs/>
        </w:rPr>
        <w:t>This needs a concluding sentence or two</w:t>
      </w:r>
    </w:p>
    <w:p w14:paraId="6226955D" w14:textId="77777777" w:rsidR="00407EA0" w:rsidRDefault="00000000">
      <w:pPr>
        <w:pStyle w:val="Heading2"/>
      </w:pPr>
      <w:bookmarkStart w:id="28" w:name="X21e223ff2a6c6174861d2e57db210b6794bc293"/>
      <w:bookmarkEnd w:id="27"/>
      <w:r>
        <w:t>Sedimentation Models and Constraining Uncertainty</w:t>
      </w:r>
    </w:p>
    <w:p w14:paraId="7D3CF363" w14:textId="77777777" w:rsidR="00407EA0" w:rsidRDefault="00000000">
      <w:pPr>
        <w:pStyle w:val="FirstParagraph"/>
      </w:pPr>
      <w:r>
        <w:t xml:space="preserve">A potential criticism of our approach is that our choice of a simple sedimentation model artificially reduces overall model uncertainties. Since we do not allow sedimentation rate to vary randomly at all points throughout stratigraphy, our model lacks the inflated credible intervals that characterize “dates-only” age-depth models (i.e, </w:t>
      </w:r>
      <w:r>
        <w:rPr>
          <w:rStyle w:val="VerbatimChar"/>
        </w:rPr>
        <w:t>Bchron</w:t>
      </w:r>
      <w:r>
        <w:t xml:space="preserve">, </w:t>
      </w:r>
      <w:r>
        <w:rPr>
          <w:rStyle w:val="VerbatimChar"/>
        </w:rPr>
        <w:t>rbacon</w:t>
      </w:r>
      <w:r>
        <w:t xml:space="preserve">, </w:t>
      </w:r>
      <w:r>
        <w:rPr>
          <w:rStyle w:val="VerbatimChar"/>
        </w:rPr>
        <w:t>Chron.jl</w:t>
      </w:r>
      <w:r>
        <w:t xml:space="preserve">). Indeed, Haslett and Parnell (2008) consider this minimum assumption of smoothness as a fundamental feature of age-depth modeling as there is </w:t>
      </w:r>
      <w:r>
        <w:rPr>
          <w:i/>
          <w:iCs/>
        </w:rPr>
        <w:t>“no reason a priori to exclude either almost flat or very steep sections”</w:t>
      </w:r>
      <w:r>
        <w:t>. While Blaauw and Christen (2011) considers some smoothness desirable, both modeling approaches allow sedimentation rate to vary randomly and considerably in the absence of other constraints. However, astrochronology provides a clear, strong constraint on both the absolute and spatial variability in sedimentation rate. Orbital tuning approaches show that frequent changes in sedimentation rate can introduce fluctuations unrelated to astrologic frequencies (Muller and MacDonald, 2002; Malinverno et al., 2010) and spatial investigation of astrologic frequencies often reveal long periods of near constant sedimentation rates (Shen et al., 2022; Sinnesael et al., 2019; Meyers et al., 2001). Therefore the addition of cyclostratigraphic data to model construction allows for the informed construction of simpler sedimentation models which result in substantially lower uncertainties.</w:t>
      </w:r>
    </w:p>
    <w:p w14:paraId="26521EAB" w14:textId="77777777" w:rsidR="00407EA0" w:rsidRDefault="00000000">
      <w:pPr>
        <w:pStyle w:val="Heading2"/>
      </w:pPr>
      <w:bookmarkStart w:id="29" w:name="case-study-bridge-creek-limestone-1"/>
      <w:bookmarkEnd w:id="28"/>
      <w:r>
        <w:lastRenderedPageBreak/>
        <w:t>Case Study: Bridge Creek Limestone</w:t>
      </w:r>
    </w:p>
    <w:p w14:paraId="376F49C8" w14:textId="37C300FB" w:rsidR="00407EA0" w:rsidRDefault="00766F20" w:rsidP="00766F20">
      <w:pPr>
        <w:pStyle w:val="CaptionedFigure"/>
        <w:jc w:val="center"/>
      </w:pPr>
      <w:r>
        <w:rPr>
          <w:noProof/>
        </w:rPr>
        <w:drawing>
          <wp:inline distT="0" distB="0" distL="0" distR="0" wp14:anchorId="4F097D77" wp14:editId="43EE3028">
            <wp:extent cx="5257800" cy="2743200"/>
            <wp:effectExtent l="0" t="0" r="0" b="0"/>
            <wp:docPr id="1540933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33930" name="Picture 1540933930"/>
                    <pic:cNvPicPr/>
                  </pic:nvPicPr>
                  <pic:blipFill>
                    <a:blip r:embed="rId17">
                      <a:extLst>
                        <a:ext uri="{28A0092B-C50C-407E-A947-70E740481C1C}">
                          <a14:useLocalDpi xmlns:a14="http://schemas.microsoft.com/office/drawing/2010/main" val="0"/>
                        </a:ext>
                      </a:extLst>
                    </a:blip>
                    <a:stretch>
                      <a:fillRect/>
                    </a:stretch>
                  </pic:blipFill>
                  <pic:spPr>
                    <a:xfrm>
                      <a:off x="0" y="0"/>
                      <a:ext cx="5257800" cy="2743200"/>
                    </a:xfrm>
                    <a:prstGeom prst="rect">
                      <a:avLst/>
                    </a:prstGeom>
                  </pic:spPr>
                </pic:pic>
              </a:graphicData>
            </a:graphic>
          </wp:inline>
        </w:drawing>
      </w:r>
    </w:p>
    <w:p w14:paraId="436E5852" w14:textId="77777777" w:rsidR="00407EA0" w:rsidRDefault="00000000">
      <w:pPr>
        <w:pStyle w:val="ImageCaption"/>
      </w:pPr>
      <w:r>
        <w:t xml:space="preserve">Figure 5: Results of </w:t>
      </w:r>
      <w:r>
        <w:rPr>
          <w:rStyle w:val="VerbatimChar"/>
        </w:rPr>
        <w:t>astroBayes</w:t>
      </w:r>
      <w:r>
        <w:t xml:space="preserve"> modeling of the Bridge Creek Limestone greyscale record showing the modeled age of the Cenomanian Turonian Boundary. A) Bridge Creek Limestone grayscale record. B) age-depth model using </w:t>
      </w:r>
      <w:r>
        <w:rPr>
          <w:vertAlign w:val="superscript"/>
        </w:rPr>
        <w:t>40</w:t>
      </w:r>
      <w:r>
        <w:t>Ar/</w:t>
      </w:r>
      <w:r>
        <w:rPr>
          <w:vertAlign w:val="superscript"/>
        </w:rPr>
        <w:t>39</w:t>
      </w:r>
      <w:r>
        <w:t>Ar dates originally reported by Meyers et al. (2012). C) Evolutive harmonic analysis of panel A showing layer boundary positions (dashed white lines).</w:t>
      </w:r>
    </w:p>
    <w:p w14:paraId="7B3F1362" w14:textId="2C6F5289" w:rsidR="00407EA0" w:rsidRDefault="00766F20" w:rsidP="00766F20">
      <w:pPr>
        <w:pStyle w:val="CaptionedFigure"/>
        <w:jc w:val="center"/>
      </w:pPr>
      <w:r>
        <w:rPr>
          <w:noProof/>
        </w:rPr>
        <w:drawing>
          <wp:inline distT="0" distB="0" distL="0" distR="0" wp14:anchorId="45BE1C2C" wp14:editId="5F216BE0">
            <wp:extent cx="3429000" cy="3429000"/>
            <wp:effectExtent l="0" t="0" r="0" b="0"/>
            <wp:docPr id="14127265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26538" name="Picture 1412726538"/>
                    <pic:cNvPicPr/>
                  </pic:nvPicPr>
                  <pic:blipFill>
                    <a:blip r:embed="rId18">
                      <a:extLst>
                        <a:ext uri="{28A0092B-C50C-407E-A947-70E740481C1C}">
                          <a14:useLocalDpi xmlns:a14="http://schemas.microsoft.com/office/drawing/2010/main" val="0"/>
                        </a:ext>
                      </a:extLst>
                    </a:blip>
                    <a:stretch>
                      <a:fillRect/>
                    </a:stretch>
                  </pic:blipFill>
                  <pic:spPr>
                    <a:xfrm>
                      <a:off x="0" y="0"/>
                      <a:ext cx="3429000" cy="3429000"/>
                    </a:xfrm>
                    <a:prstGeom prst="rect">
                      <a:avLst/>
                    </a:prstGeom>
                  </pic:spPr>
                </pic:pic>
              </a:graphicData>
            </a:graphic>
          </wp:inline>
        </w:drawing>
      </w:r>
    </w:p>
    <w:p w14:paraId="3DD78F63" w14:textId="77777777" w:rsidR="00407EA0" w:rsidRDefault="00000000">
      <w:pPr>
        <w:pStyle w:val="ImageCaption"/>
      </w:pPr>
      <w:r>
        <w:t xml:space="preserve">Figure 6: A) Periodogram of the Bridge Creek Limestone Greyscale data after applying the median </w:t>
      </w:r>
      <w:r>
        <w:rPr>
          <w:rStyle w:val="VerbatimChar"/>
        </w:rPr>
        <w:t>astroBayes</w:t>
      </w:r>
      <w:r>
        <w:t xml:space="preserve"> age-depth model. The solid red line is the AR1 red noise background and the dashed red line is the 95% confidence interval. B) Evolutive harmonic analysis of Astrologic Bridge Creek Limestone Greyscale data after applying the median </w:t>
      </w:r>
      <w:r>
        <w:rPr>
          <w:rStyle w:val="VerbatimChar"/>
        </w:rPr>
        <w:t>astroBayes</w:t>
      </w:r>
      <w:r>
        <w:t xml:space="preserve"> age-depth model. In both panels astrologic frequencies (Table 4) used in model construction are shown as vertical dashed lines. Note that in panel B distortion from variations in sedimentation rate (see Figure 5 C) has been removed.</w:t>
      </w:r>
    </w:p>
    <w:p w14:paraId="11A49B50" w14:textId="77777777" w:rsidR="00407EA0" w:rsidRDefault="00000000">
      <w:pPr>
        <w:pStyle w:val="TableCaption"/>
      </w:pPr>
      <w:bookmarkStart w:id="30" w:name="tbl:ct_frequencies"/>
      <w:r>
        <w:lastRenderedPageBreak/>
        <w:t xml:space="preserve">Table 4: Astrologic periods used for modeling the Bridge Creek limestone greyscale record and </w:t>
      </w:r>
      <w:r>
        <w:rPr>
          <w:vertAlign w:val="superscript"/>
        </w:rPr>
        <w:t>40</w:t>
      </w:r>
      <w:r>
        <w:t>Ar/</w:t>
      </w:r>
      <w:r>
        <w:rPr>
          <w:vertAlign w:val="superscript"/>
        </w:rPr>
        <w:t>39</w:t>
      </w:r>
      <w:r>
        <w:t>Ar dates.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93"/>
        <w:gridCol w:w="2268"/>
        <w:gridCol w:w="2410"/>
      </w:tblGrid>
      <w:tr w:rsidR="00407EA0" w14:paraId="3F2CD9D9" w14:textId="77777777" w:rsidTr="00766F20">
        <w:trPr>
          <w:tblHeader/>
        </w:trPr>
        <w:tc>
          <w:tcPr>
            <w:tcW w:w="2093" w:type="dxa"/>
          </w:tcPr>
          <w:p w14:paraId="72E71770" w14:textId="77777777" w:rsidR="00407EA0" w:rsidRDefault="00000000">
            <w:pPr>
              <w:pStyle w:val="Compact"/>
              <w:jc w:val="center"/>
            </w:pPr>
            <w:r>
              <w:t>Period (Ma)</w:t>
            </w:r>
          </w:p>
        </w:tc>
        <w:tc>
          <w:tcPr>
            <w:tcW w:w="2268" w:type="dxa"/>
          </w:tcPr>
          <w:p w14:paraId="267B198D" w14:textId="77777777" w:rsidR="00407EA0" w:rsidRDefault="00000000">
            <w:pPr>
              <w:pStyle w:val="Compact"/>
              <w:jc w:val="center"/>
            </w:pPr>
            <w:r>
              <w:t>Frequency (1/Ma)</w:t>
            </w:r>
          </w:p>
        </w:tc>
        <w:tc>
          <w:tcPr>
            <w:tcW w:w="2410" w:type="dxa"/>
          </w:tcPr>
          <w:p w14:paraId="5B90056C" w14:textId="77777777" w:rsidR="00407EA0" w:rsidRDefault="00000000">
            <w:pPr>
              <w:pStyle w:val="Compact"/>
              <w:jc w:val="center"/>
            </w:pPr>
            <w:r>
              <w:t>Cycle</w:t>
            </w:r>
          </w:p>
        </w:tc>
      </w:tr>
      <w:tr w:rsidR="00407EA0" w14:paraId="3FAD771A" w14:textId="77777777" w:rsidTr="00766F20">
        <w:tc>
          <w:tcPr>
            <w:tcW w:w="2093" w:type="dxa"/>
          </w:tcPr>
          <w:p w14:paraId="36AE3CF7" w14:textId="77777777" w:rsidR="00407EA0" w:rsidRDefault="00000000">
            <w:pPr>
              <w:pStyle w:val="Compact"/>
              <w:jc w:val="center"/>
            </w:pPr>
            <w:r>
              <w:t>0.4056795</w:t>
            </w:r>
          </w:p>
        </w:tc>
        <w:tc>
          <w:tcPr>
            <w:tcW w:w="2268" w:type="dxa"/>
          </w:tcPr>
          <w:p w14:paraId="55658F1E" w14:textId="77777777" w:rsidR="00407EA0" w:rsidRDefault="00000000">
            <w:pPr>
              <w:pStyle w:val="Compact"/>
              <w:jc w:val="center"/>
            </w:pPr>
            <w:r>
              <w:t>2.46500</w:t>
            </w:r>
          </w:p>
        </w:tc>
        <w:tc>
          <w:tcPr>
            <w:tcW w:w="2410" w:type="dxa"/>
          </w:tcPr>
          <w:p w14:paraId="3430655D" w14:textId="77777777" w:rsidR="00407EA0" w:rsidRDefault="00000000">
            <w:pPr>
              <w:pStyle w:val="Compact"/>
              <w:jc w:val="center"/>
            </w:pPr>
            <w:r>
              <w:t>eccentricity</w:t>
            </w:r>
          </w:p>
        </w:tc>
      </w:tr>
      <w:tr w:rsidR="00407EA0" w14:paraId="55CA00B8" w14:textId="77777777" w:rsidTr="00766F20">
        <w:tc>
          <w:tcPr>
            <w:tcW w:w="2093" w:type="dxa"/>
          </w:tcPr>
          <w:p w14:paraId="7CBF03DF" w14:textId="77777777" w:rsidR="00407EA0" w:rsidRDefault="00000000">
            <w:pPr>
              <w:pStyle w:val="Compact"/>
              <w:jc w:val="center"/>
            </w:pPr>
            <w:r>
              <w:t>0.0948767</w:t>
            </w:r>
          </w:p>
        </w:tc>
        <w:tc>
          <w:tcPr>
            <w:tcW w:w="2268" w:type="dxa"/>
          </w:tcPr>
          <w:p w14:paraId="470483A3" w14:textId="77777777" w:rsidR="00407EA0" w:rsidRDefault="00000000">
            <w:pPr>
              <w:pStyle w:val="Compact"/>
              <w:jc w:val="center"/>
            </w:pPr>
            <w:r>
              <w:t>10.54000</w:t>
            </w:r>
          </w:p>
        </w:tc>
        <w:tc>
          <w:tcPr>
            <w:tcW w:w="2410" w:type="dxa"/>
          </w:tcPr>
          <w:p w14:paraId="133AE759" w14:textId="77777777" w:rsidR="00407EA0" w:rsidRDefault="00000000">
            <w:pPr>
              <w:pStyle w:val="Compact"/>
              <w:jc w:val="center"/>
            </w:pPr>
            <w:r>
              <w:t>eccentricity</w:t>
            </w:r>
          </w:p>
        </w:tc>
      </w:tr>
      <w:tr w:rsidR="00407EA0" w14:paraId="72FA3870" w14:textId="77777777" w:rsidTr="00766F20">
        <w:tc>
          <w:tcPr>
            <w:tcW w:w="2093" w:type="dxa"/>
          </w:tcPr>
          <w:p w14:paraId="418A864F" w14:textId="77777777" w:rsidR="00407EA0" w:rsidRDefault="00000000">
            <w:pPr>
              <w:pStyle w:val="Compact"/>
              <w:jc w:val="center"/>
            </w:pPr>
            <w:r>
              <w:t>0.0988631</w:t>
            </w:r>
          </w:p>
        </w:tc>
        <w:tc>
          <w:tcPr>
            <w:tcW w:w="2268" w:type="dxa"/>
          </w:tcPr>
          <w:p w14:paraId="7A4F5B03" w14:textId="77777777" w:rsidR="00407EA0" w:rsidRDefault="00000000">
            <w:pPr>
              <w:pStyle w:val="Compact"/>
              <w:jc w:val="center"/>
            </w:pPr>
            <w:r>
              <w:t>10.11500</w:t>
            </w:r>
          </w:p>
        </w:tc>
        <w:tc>
          <w:tcPr>
            <w:tcW w:w="2410" w:type="dxa"/>
          </w:tcPr>
          <w:p w14:paraId="51638BE2" w14:textId="77777777" w:rsidR="00407EA0" w:rsidRDefault="00000000">
            <w:pPr>
              <w:pStyle w:val="Compact"/>
              <w:jc w:val="center"/>
            </w:pPr>
            <w:r>
              <w:t>eccentricity</w:t>
            </w:r>
          </w:p>
        </w:tc>
      </w:tr>
      <w:tr w:rsidR="00407EA0" w14:paraId="7A73C79C" w14:textId="77777777" w:rsidTr="00766F20">
        <w:tc>
          <w:tcPr>
            <w:tcW w:w="2093" w:type="dxa"/>
          </w:tcPr>
          <w:p w14:paraId="04540AA4" w14:textId="77777777" w:rsidR="00407EA0" w:rsidRDefault="00000000">
            <w:pPr>
              <w:pStyle w:val="Compact"/>
              <w:jc w:val="center"/>
            </w:pPr>
            <w:r>
              <w:t>0.0504434</w:t>
            </w:r>
          </w:p>
        </w:tc>
        <w:tc>
          <w:tcPr>
            <w:tcW w:w="2268" w:type="dxa"/>
          </w:tcPr>
          <w:p w14:paraId="2728E310" w14:textId="77777777" w:rsidR="00407EA0" w:rsidRDefault="00000000">
            <w:pPr>
              <w:pStyle w:val="Compact"/>
              <w:jc w:val="center"/>
            </w:pPr>
            <w:r>
              <w:t>19.82420</w:t>
            </w:r>
          </w:p>
        </w:tc>
        <w:tc>
          <w:tcPr>
            <w:tcW w:w="2410" w:type="dxa"/>
          </w:tcPr>
          <w:p w14:paraId="669B9A1A" w14:textId="77777777" w:rsidR="00407EA0" w:rsidRDefault="00000000">
            <w:pPr>
              <w:pStyle w:val="Compact"/>
              <w:jc w:val="center"/>
            </w:pPr>
            <w:r>
              <w:t>obliquity</w:t>
            </w:r>
          </w:p>
        </w:tc>
      </w:tr>
      <w:tr w:rsidR="00407EA0" w14:paraId="01F71E69" w14:textId="77777777" w:rsidTr="00766F20">
        <w:tc>
          <w:tcPr>
            <w:tcW w:w="2093" w:type="dxa"/>
          </w:tcPr>
          <w:p w14:paraId="46BDA8A7" w14:textId="77777777" w:rsidR="00407EA0" w:rsidRDefault="00000000">
            <w:pPr>
              <w:pStyle w:val="Compact"/>
              <w:jc w:val="center"/>
            </w:pPr>
            <w:r>
              <w:t>0.0391000</w:t>
            </w:r>
          </w:p>
        </w:tc>
        <w:tc>
          <w:tcPr>
            <w:tcW w:w="2268" w:type="dxa"/>
          </w:tcPr>
          <w:p w14:paraId="74FBE79B" w14:textId="77777777" w:rsidR="00407EA0" w:rsidRDefault="00000000">
            <w:pPr>
              <w:pStyle w:val="Compact"/>
              <w:jc w:val="center"/>
            </w:pPr>
            <w:r>
              <w:t>25.57545</w:t>
            </w:r>
          </w:p>
        </w:tc>
        <w:tc>
          <w:tcPr>
            <w:tcW w:w="2410" w:type="dxa"/>
          </w:tcPr>
          <w:p w14:paraId="7EF11672" w14:textId="77777777" w:rsidR="00407EA0" w:rsidRDefault="00000000">
            <w:pPr>
              <w:pStyle w:val="Compact"/>
              <w:jc w:val="center"/>
            </w:pPr>
            <w:r>
              <w:t>obliquity</w:t>
            </w:r>
          </w:p>
        </w:tc>
      </w:tr>
      <w:tr w:rsidR="00407EA0" w14:paraId="77E79BB5" w14:textId="77777777" w:rsidTr="00766F20">
        <w:tc>
          <w:tcPr>
            <w:tcW w:w="2093" w:type="dxa"/>
          </w:tcPr>
          <w:p w14:paraId="00565387" w14:textId="77777777" w:rsidR="00407EA0" w:rsidRDefault="00000000">
            <w:pPr>
              <w:pStyle w:val="Compact"/>
              <w:jc w:val="center"/>
            </w:pPr>
            <w:r>
              <w:t>0.0279130</w:t>
            </w:r>
          </w:p>
        </w:tc>
        <w:tc>
          <w:tcPr>
            <w:tcW w:w="2268" w:type="dxa"/>
          </w:tcPr>
          <w:p w14:paraId="0ACF0A10" w14:textId="77777777" w:rsidR="00407EA0" w:rsidRDefault="00000000">
            <w:pPr>
              <w:pStyle w:val="Compact"/>
              <w:jc w:val="center"/>
            </w:pPr>
            <w:r>
              <w:t>35.82561</w:t>
            </w:r>
          </w:p>
        </w:tc>
        <w:tc>
          <w:tcPr>
            <w:tcW w:w="2410" w:type="dxa"/>
          </w:tcPr>
          <w:p w14:paraId="43C1ABC6" w14:textId="77777777" w:rsidR="00407EA0" w:rsidRDefault="00000000">
            <w:pPr>
              <w:pStyle w:val="Compact"/>
              <w:jc w:val="center"/>
            </w:pPr>
            <w:r>
              <w:t>obliquity</w:t>
            </w:r>
          </w:p>
        </w:tc>
      </w:tr>
      <w:tr w:rsidR="00407EA0" w14:paraId="492E6DC5" w14:textId="77777777" w:rsidTr="00766F20">
        <w:tc>
          <w:tcPr>
            <w:tcW w:w="2093" w:type="dxa"/>
          </w:tcPr>
          <w:p w14:paraId="0B4D76E7" w14:textId="77777777" w:rsidR="00407EA0" w:rsidRDefault="00000000">
            <w:pPr>
              <w:pStyle w:val="Compact"/>
              <w:jc w:val="center"/>
            </w:pPr>
            <w:r>
              <w:t>0.0224100</w:t>
            </w:r>
          </w:p>
        </w:tc>
        <w:tc>
          <w:tcPr>
            <w:tcW w:w="2268" w:type="dxa"/>
          </w:tcPr>
          <w:p w14:paraId="35D7310B" w14:textId="77777777" w:rsidR="00407EA0" w:rsidRDefault="00000000">
            <w:pPr>
              <w:pStyle w:val="Compact"/>
              <w:jc w:val="center"/>
            </w:pPr>
            <w:r>
              <w:t>44.62294</w:t>
            </w:r>
          </w:p>
        </w:tc>
        <w:tc>
          <w:tcPr>
            <w:tcW w:w="2410" w:type="dxa"/>
          </w:tcPr>
          <w:p w14:paraId="1B814485" w14:textId="77777777" w:rsidR="00407EA0" w:rsidRDefault="00000000">
            <w:pPr>
              <w:pStyle w:val="Compact"/>
              <w:jc w:val="center"/>
            </w:pPr>
            <w:r>
              <w:t>precession</w:t>
            </w:r>
          </w:p>
        </w:tc>
      </w:tr>
    </w:tbl>
    <w:bookmarkEnd w:id="30"/>
    <w:p w14:paraId="1535F509" w14:textId="32215A1B" w:rsidR="00407EA0" w:rsidRDefault="00000000">
      <w:pPr>
        <w:pStyle w:val="BodyText"/>
      </w:pPr>
      <w:proofErr w:type="gramStart"/>
      <w:r w:rsidRPr="00766F20">
        <w:rPr>
          <w:b/>
          <w:bCs/>
          <w:highlight w:val="yellow"/>
        </w:rPr>
        <w:t>Steve</w:t>
      </w:r>
      <w:proofErr w:type="gramEnd"/>
      <w:r w:rsidRPr="00766F20">
        <w:rPr>
          <w:b/>
          <w:bCs/>
          <w:highlight w:val="yellow"/>
        </w:rPr>
        <w:t xml:space="preserve"> can you add details about how you cho</w:t>
      </w:r>
      <w:r w:rsidR="00766F20" w:rsidRPr="00766F20">
        <w:rPr>
          <w:b/>
          <w:bCs/>
          <w:highlight w:val="yellow"/>
        </w:rPr>
        <w:t>o</w:t>
      </w:r>
      <w:r w:rsidRPr="00766F20">
        <w:rPr>
          <w:b/>
          <w:bCs/>
          <w:highlight w:val="yellow"/>
        </w:rPr>
        <w:t>se these frequencies?</w:t>
      </w:r>
    </w:p>
    <w:p w14:paraId="52062546" w14:textId="77777777" w:rsidR="00407EA0" w:rsidRDefault="00000000">
      <w:pPr>
        <w:pStyle w:val="BodyText"/>
      </w:pPr>
      <w:r>
        <w:t xml:space="preserve">We divided the Bridge Creek Limestone (Figure 5 A) into three layers based on the observed shifts in the high spectral power frequency-track (~1.1 cycles/m) at about 5.5 and 8.5 meters depth (Figure 5 C). We used four </w:t>
      </w:r>
      <w:r>
        <w:rPr>
          <w:vertAlign w:val="superscript"/>
        </w:rPr>
        <w:t>40</w:t>
      </w:r>
      <w:r>
        <w:t>Ar/</w:t>
      </w:r>
      <w:r>
        <w:rPr>
          <w:vertAlign w:val="superscript"/>
        </w:rPr>
        <w:t>39</w:t>
      </w:r>
      <w:r>
        <w:t xml:space="preserve">Ar dates originally reported by Meyers et al. (2012), and a suite of astrologic frequencies (Table 4) to construct an </w:t>
      </w:r>
      <w:r>
        <w:rPr>
          <w:rStyle w:val="VerbatimChar"/>
        </w:rPr>
        <w:t>astroBayes</w:t>
      </w:r>
      <w:r>
        <w:t xml:space="preserve"> age-depth model of the Bridge Creek Limestone (Figure 5 B). Evolutive harmonic analysis of the greyscale record after applying the median age depth model, reveals stable, high power, eccentricity (~10 cycles/Ma) and obliquity (~20 cycles/Ma) scale frequencies, suggesting that age-depth modeling has successfully removed distortion of these astrologic frequencies as a result of varying sedimentation rates (Figure </w:t>
      </w:r>
      <w:r>
        <w:rPr>
          <w:b/>
          <w:bCs/>
        </w:rPr>
        <w:t>¿fig:ctfrequencies?</w:t>
      </w:r>
      <w:r>
        <w:t>).</w:t>
      </w:r>
    </w:p>
    <w:p w14:paraId="50D0C173" w14:textId="77777777" w:rsidR="00407EA0" w:rsidRDefault="00000000">
      <w:pPr>
        <w:pStyle w:val="BodyText"/>
      </w:pPr>
      <w:r>
        <w:t xml:space="preserve">We used the age-depth model to calculate the age of the Cenomanian-Turonian boundary as 93.90±0.14 Ma (median±95%CI). This age is essentially indistinguishable from the previous age of 93.90±0.15 Ma reported by Meyers et al. (2012), suggesting that </w:t>
      </w:r>
      <w:r>
        <w:rPr>
          <w:rStyle w:val="VerbatimChar"/>
        </w:rPr>
        <w:t>astroBayes</w:t>
      </w:r>
      <w:r>
        <w:t xml:space="preserve"> produces comparable results. Crucially however, our model provides a continuous record of age for the Bridge Creek Limestone which can be used to interpret the boundary ages and durations of several ammonite biozones present in the section (Meyers et al., 2012, 2001) and foster correlations to other calibrated sections.</w:t>
      </w:r>
    </w:p>
    <w:p w14:paraId="739A3C81" w14:textId="77777777" w:rsidR="00407EA0" w:rsidRDefault="00000000">
      <w:pPr>
        <w:pStyle w:val="BodyText"/>
      </w:pPr>
      <w:r w:rsidRPr="00766F20">
        <w:rPr>
          <w:b/>
          <w:bCs/>
          <w:highlight w:val="yellow"/>
        </w:rPr>
        <w:lastRenderedPageBreak/>
        <w:t>Are there other discussion points folks think I should hit here? I could calculate the age of the ammonite biozone boundaries for example.</w:t>
      </w:r>
    </w:p>
    <w:p w14:paraId="7F1017FF" w14:textId="77777777" w:rsidR="00407EA0" w:rsidRDefault="00000000">
      <w:pPr>
        <w:pStyle w:val="Heading1"/>
      </w:pPr>
      <w:bookmarkStart w:id="31" w:name="conclusions"/>
      <w:bookmarkEnd w:id="25"/>
      <w:bookmarkEnd w:id="29"/>
      <w:r>
        <w:t>Conclusions</w:t>
      </w:r>
    </w:p>
    <w:p w14:paraId="27758AA6" w14:textId="77777777" w:rsidR="00407EA0" w:rsidRDefault="00000000">
      <w:pPr>
        <w:pStyle w:val="FirstParagraph"/>
      </w:pPr>
      <w:r w:rsidRPr="00766F20">
        <w:rPr>
          <w:highlight w:val="yellow"/>
        </w:rPr>
        <w:t>I should put something here</w:t>
      </w:r>
    </w:p>
    <w:p w14:paraId="6354C344" w14:textId="77777777" w:rsidR="00407EA0" w:rsidRDefault="00000000">
      <w:pPr>
        <w:pStyle w:val="Heading1"/>
      </w:pPr>
      <w:bookmarkStart w:id="32" w:name="acknowledgements"/>
      <w:bookmarkEnd w:id="31"/>
      <w:r>
        <w:t>Acknowledgements</w:t>
      </w:r>
    </w:p>
    <w:p w14:paraId="26EEE5BB" w14:textId="6478C146" w:rsidR="002668CA" w:rsidRPr="002668CA" w:rsidRDefault="00000000" w:rsidP="002668CA">
      <w:pPr>
        <w:pStyle w:val="FirstParagraph"/>
      </w:pPr>
      <w:r>
        <w:t>We thank Dr. Matthias Sinnesael for providing the Cyclostratigraphy Intercomparison Project data used for model testing. We also thank Dr. Jacob Anderson and Dr. Alberto Malinverno for insightful discussions during the development of this project. This work was supported by NSF-###-###### M.D. Schmitz.</w:t>
      </w:r>
      <w:r w:rsidR="002668CA">
        <w:br w:type="page"/>
      </w:r>
    </w:p>
    <w:p w14:paraId="6F466339" w14:textId="77777777" w:rsidR="00407EA0" w:rsidRDefault="00000000">
      <w:pPr>
        <w:pStyle w:val="Heading1"/>
      </w:pPr>
      <w:bookmarkStart w:id="33" w:name="references"/>
      <w:bookmarkEnd w:id="32"/>
      <w:r>
        <w:lastRenderedPageBreak/>
        <w:t>References</w:t>
      </w:r>
    </w:p>
    <w:p w14:paraId="7A596D00" w14:textId="77777777" w:rsidR="00407EA0" w:rsidRDefault="00000000">
      <w:pPr>
        <w:pStyle w:val="Bibliography"/>
      </w:pPr>
      <w:bookmarkStart w:id="34" w:name="ref-blaauw2011"/>
      <w:bookmarkStart w:id="35" w:name="refs"/>
      <w:r>
        <w:t xml:space="preserve">Blaauw, M. and Christen, J. A.: Flexible paleoclimate age-depth models using an autoregressive gamma process, Bayesian Analysis, 6, 457–474, </w:t>
      </w:r>
      <w:hyperlink r:id="rId19">
        <w:r>
          <w:rPr>
            <w:rStyle w:val="Hyperlink"/>
          </w:rPr>
          <w:t>https://doi.org/doi:10.1214/11-BA618</w:t>
        </w:r>
      </w:hyperlink>
      <w:r>
        <w:t>, 2011.</w:t>
      </w:r>
    </w:p>
    <w:p w14:paraId="53B79D66" w14:textId="77777777" w:rsidR="00407EA0" w:rsidRDefault="00000000">
      <w:pPr>
        <w:pStyle w:val="Bibliography"/>
      </w:pPr>
      <w:bookmarkStart w:id="36" w:name="ref-blaauw2012"/>
      <w:bookmarkEnd w:id="34"/>
      <w:r>
        <w:t>Blaauw, M. and Heegaard, E.: Estimation Of Age-Depth Relationships, in: Tracking Environmental Change Using Lake Sediments, Springer, 379–413, 2012.</w:t>
      </w:r>
    </w:p>
    <w:p w14:paraId="461E2A65" w14:textId="77777777" w:rsidR="00407EA0" w:rsidRDefault="00000000">
      <w:pPr>
        <w:pStyle w:val="Bibliography"/>
      </w:pPr>
      <w:bookmarkStart w:id="37" w:name="ref-blaauw2018"/>
      <w:bookmarkEnd w:id="36"/>
      <w:r>
        <w:t>Blaauw, M., Christen, J. A., Bennett, K. D., and Reimer, P. J.: Double the dates and go for Bayes of model choice, dating density and quality on chronologies, Quaternary Science Reviews, 188, 58–66, 2018.</w:t>
      </w:r>
    </w:p>
    <w:p w14:paraId="0E4D4474" w14:textId="77777777" w:rsidR="00407EA0" w:rsidRDefault="00000000">
      <w:pPr>
        <w:pStyle w:val="Bibliography"/>
      </w:pPr>
      <w:bookmarkStart w:id="38" w:name="ref-buck1991"/>
      <w:bookmarkEnd w:id="37"/>
      <w:r>
        <w:t>Buck, C. E., Kenworthy, J. B., Litton, C. D., and Smith, A. F.: Combining archaeological and radiocarbon information: A Bayesian approach to calibration, Antiquity, 65, 808–821, 1991.</w:t>
      </w:r>
    </w:p>
    <w:p w14:paraId="4547CEDD" w14:textId="77777777" w:rsidR="00407EA0" w:rsidRDefault="00000000">
      <w:pPr>
        <w:pStyle w:val="Bibliography"/>
      </w:pPr>
      <w:bookmarkStart w:id="39" w:name="ref-devleeschouwer2014"/>
      <w:bookmarkEnd w:id="38"/>
      <w:r>
        <w:t xml:space="preserve">De Vleeschouwer, D. and Parnell, A. C.: Reducing time-scale uncertainty for the Devonian by integrating astrochronology and Bayesian statistics, Geology, 42, 491–494, </w:t>
      </w:r>
      <w:hyperlink r:id="rId20">
        <w:r>
          <w:rPr>
            <w:rStyle w:val="Hyperlink"/>
          </w:rPr>
          <w:t>https://doi.org/doi:10.1130/G35618.1</w:t>
        </w:r>
      </w:hyperlink>
      <w:r>
        <w:t>, 2014.</w:t>
      </w:r>
    </w:p>
    <w:p w14:paraId="6ED7BB04" w14:textId="77777777" w:rsidR="00407EA0" w:rsidRDefault="00000000">
      <w:pPr>
        <w:pStyle w:val="Bibliography"/>
      </w:pPr>
      <w:bookmarkStart w:id="40" w:name="ref-elder1994"/>
      <w:bookmarkEnd w:id="39"/>
      <w:r>
        <w:t>Elder, W., Gustason, E., and Sageman, B.: Basinwide correlation of parasequences in the Greenhorn Cyclothem, Western Interior, US, Geological Society of America, Bulletin, 106, 892–902, 1994.</w:t>
      </w:r>
    </w:p>
    <w:p w14:paraId="652E7446" w14:textId="77777777" w:rsidR="00407EA0" w:rsidRDefault="00000000">
      <w:pPr>
        <w:pStyle w:val="Bibliography"/>
      </w:pPr>
      <w:bookmarkStart w:id="41" w:name="ref-gelman1996"/>
      <w:bookmarkEnd w:id="40"/>
      <w:r>
        <w:t>Gelman, A., Roberts, G. O., and Gilks, W. R.: Efficient Metropolis jumping rules, Bayesian statistics, 5, 42, 1996.</w:t>
      </w:r>
    </w:p>
    <w:p w14:paraId="422F89F4" w14:textId="77777777" w:rsidR="00407EA0" w:rsidRDefault="00000000">
      <w:pPr>
        <w:pStyle w:val="Bibliography"/>
      </w:pPr>
      <w:bookmarkStart w:id="42" w:name="ref-haario2001"/>
      <w:bookmarkEnd w:id="41"/>
      <w:r>
        <w:t>Haario, H., Saksman, E., and Tamminen, J.: An adaptive Metropolis algorithm, Bernoulli, 7, 223–242, 2001.</w:t>
      </w:r>
    </w:p>
    <w:p w14:paraId="34CC3E64" w14:textId="77777777" w:rsidR="00407EA0" w:rsidRDefault="00000000">
      <w:pPr>
        <w:pStyle w:val="Bibliography"/>
      </w:pPr>
      <w:bookmarkStart w:id="43" w:name="ref-harrigan2021"/>
      <w:bookmarkEnd w:id="42"/>
      <w:r>
        <w:t>Harrigan, C. O., Schmitz, M. D., Over, D. J., Trayler, R. B., and Davydov, V. I.: Recalibrating the Devonian time scale: A new method for integrating radioisotopic and astrochronologic ages in a Bayesian framework, GSA Bulletin, 2021.</w:t>
      </w:r>
    </w:p>
    <w:p w14:paraId="1A82599F" w14:textId="77777777" w:rsidR="00407EA0" w:rsidRDefault="00000000">
      <w:pPr>
        <w:pStyle w:val="Bibliography"/>
      </w:pPr>
      <w:bookmarkStart w:id="44" w:name="ref-haslett2008"/>
      <w:bookmarkEnd w:id="43"/>
      <w:r>
        <w:t xml:space="preserve">Haslett, J. and Parnell, A. C.: A Simple Monotone Process With Application To Radiocarbon-Dated Depth Chronologies, Applied Statistics, 57, 399–418, </w:t>
      </w:r>
      <w:hyperlink r:id="rId21">
        <w:r>
          <w:rPr>
            <w:rStyle w:val="Hyperlink"/>
          </w:rPr>
          <w:t>https://doi.org/10.1111/j.1467-9876.2008.00623.x</w:t>
        </w:r>
      </w:hyperlink>
      <w:r>
        <w:t>, 2008.</w:t>
      </w:r>
    </w:p>
    <w:p w14:paraId="15B4F3B1" w14:textId="77777777" w:rsidR="00407EA0" w:rsidRDefault="00000000">
      <w:pPr>
        <w:pStyle w:val="Bibliography"/>
      </w:pPr>
      <w:bookmarkStart w:id="45" w:name="ref-hinnov2013"/>
      <w:bookmarkEnd w:id="44"/>
      <w:r>
        <w:t>Hinnov, L. A.: Cyclostratigraphy and its revolutionizing applications in the earth and planetary sciences, Bulletin, 125, 1703–1734, 2013.</w:t>
      </w:r>
    </w:p>
    <w:p w14:paraId="59F5995A" w14:textId="77777777" w:rsidR="00407EA0" w:rsidRDefault="00000000">
      <w:pPr>
        <w:pStyle w:val="Bibliography"/>
      </w:pPr>
      <w:bookmarkStart w:id="46" w:name="ref-keller2018b"/>
      <w:bookmarkEnd w:id="45"/>
      <w:r>
        <w:t xml:space="preserve">Keller, C. B.: Chron.jl: A Bayesian framework for integrated eruption age and age-depth modelling., </w:t>
      </w:r>
      <w:hyperlink r:id="rId22">
        <w:r>
          <w:rPr>
            <w:rStyle w:val="Hyperlink"/>
          </w:rPr>
          <w:t>https://doi.org/10.17605/OSF.IO/TQX3F</w:t>
        </w:r>
      </w:hyperlink>
      <w:r>
        <w:t>, 2018.</w:t>
      </w:r>
    </w:p>
    <w:p w14:paraId="3E08F98C" w14:textId="77777777" w:rsidR="00407EA0" w:rsidRDefault="00000000">
      <w:pPr>
        <w:pStyle w:val="Bibliography"/>
      </w:pPr>
      <w:bookmarkStart w:id="47" w:name="ref-laskar2020"/>
      <w:bookmarkEnd w:id="46"/>
      <w:r>
        <w:t>Laskar, J.: Astrochronology, in: Geologic Time Scale 2020, Elsevier, 139–158, 2020.</w:t>
      </w:r>
    </w:p>
    <w:p w14:paraId="795A4041" w14:textId="77777777" w:rsidR="00407EA0" w:rsidRDefault="00000000">
      <w:pPr>
        <w:pStyle w:val="Bibliography"/>
      </w:pPr>
      <w:bookmarkStart w:id="48" w:name="ref-malinverno2010"/>
      <w:bookmarkEnd w:id="47"/>
      <w:r>
        <w:t>Malinverno, A., Erba, E., and Herbert, T.: Orbital tuning as an inverse problem: Chronology of the early Aptian oceanic anoxic event 1a (Selli Level) in the Cismon APTICORE, Paleoceanography, 25, 2010.</w:t>
      </w:r>
    </w:p>
    <w:p w14:paraId="165FF9FF" w14:textId="77777777" w:rsidR="00407EA0" w:rsidRDefault="00000000">
      <w:pPr>
        <w:pStyle w:val="Bibliography"/>
      </w:pPr>
      <w:bookmarkStart w:id="49" w:name="ref-meyers2019"/>
      <w:bookmarkEnd w:id="48"/>
      <w:r>
        <w:t>Meyers, S. R.: Cyclostratigraphy and the problem of astrochronologic testing, Earth-Science Reviews, 2019.</w:t>
      </w:r>
    </w:p>
    <w:p w14:paraId="7B067331" w14:textId="77777777" w:rsidR="00407EA0" w:rsidRDefault="00000000">
      <w:pPr>
        <w:pStyle w:val="Bibliography"/>
      </w:pPr>
      <w:bookmarkStart w:id="50" w:name="ref-meyers2004"/>
      <w:bookmarkEnd w:id="49"/>
      <w:r>
        <w:lastRenderedPageBreak/>
        <w:t>Meyers, S. R. and Sageman, B. B.: Detection, quantification, and significance of hiatuses in pelagic and hemipelagic strata, Earth and Planetary Science Letters, 224, 55–72, 2004.</w:t>
      </w:r>
    </w:p>
    <w:p w14:paraId="417E0A8C" w14:textId="77777777" w:rsidR="00407EA0" w:rsidRDefault="00000000">
      <w:pPr>
        <w:pStyle w:val="Bibliography"/>
      </w:pPr>
      <w:bookmarkStart w:id="51" w:name="ref-meyers2001"/>
      <w:bookmarkEnd w:id="50"/>
      <w:r>
        <w:t>Meyers, S. R., Sageman, B. B., and Hinnov, L. A.: Integrated Quantitative Stratigraphy of the Cenomanian-Turonian Bridge Creek Limestone Member Using Evolutive Harmonic Analysis and Stratigraphic Modeling, Journal of Sedimentary Research, 71, 628–644, 2001.</w:t>
      </w:r>
    </w:p>
    <w:p w14:paraId="1B677E7E" w14:textId="77777777" w:rsidR="00407EA0" w:rsidRDefault="00000000">
      <w:pPr>
        <w:pStyle w:val="Bibliography"/>
      </w:pPr>
      <w:bookmarkStart w:id="52" w:name="ref-meyers2012"/>
      <w:bookmarkEnd w:id="51"/>
      <w:r>
        <w:t>Meyers, S. R., Siewert, S. E., Singer, B. S., Sageman, B. B., Condon, D. J., Obradovich, J. D., Jicha, B. R., and Sawyer, D. A.: Intercalibration of radioisotopic and astrochronologic time scales for the Cenomanian-Turonian boundary interval, Western Interior Basin, USA, Geology, 40, 7–10, 2012.</w:t>
      </w:r>
    </w:p>
    <w:p w14:paraId="6C6C753F" w14:textId="77777777" w:rsidR="00407EA0" w:rsidRDefault="00000000">
      <w:pPr>
        <w:pStyle w:val="Bibliography"/>
      </w:pPr>
      <w:bookmarkStart w:id="53" w:name="ref-muller2002"/>
      <w:bookmarkEnd w:id="52"/>
      <w:r>
        <w:t>Muller, R. A. and MacDonald, G. J.: Ice ages and astronomical causes: Data, spectral analysis and mechanisms, Springer Science &amp; Business Media, 2002.</w:t>
      </w:r>
    </w:p>
    <w:p w14:paraId="17DAEB0C" w14:textId="77777777" w:rsidR="00407EA0" w:rsidRDefault="00000000">
      <w:pPr>
        <w:pStyle w:val="Bibliography"/>
      </w:pPr>
      <w:bookmarkStart w:id="54" w:name="ref-parnell2011"/>
      <w:bookmarkEnd w:id="53"/>
      <w:r>
        <w:t xml:space="preserve">Parnell, A. C., Buck, C. E., and Doan, T. K.: A Review Of Statistical Chronology Models For High-Resolution, Proxy-Based Holocene Palaeoenvironmental Reconstruction, Quaternary Science Reviews, 30, 2948–2960, </w:t>
      </w:r>
      <w:hyperlink r:id="rId23">
        <w:r>
          <w:rPr>
            <w:rStyle w:val="Hyperlink"/>
          </w:rPr>
          <w:t>https://doi.org/doi:10.1016/j.quascirev.2011.07.024</w:t>
        </w:r>
      </w:hyperlink>
      <w:r>
        <w:t>, 2011.</w:t>
      </w:r>
    </w:p>
    <w:p w14:paraId="4477FA42" w14:textId="77777777" w:rsidR="00407EA0" w:rsidRDefault="00000000">
      <w:pPr>
        <w:pStyle w:val="Bibliography"/>
      </w:pPr>
      <w:bookmarkStart w:id="55" w:name="ref-sageman1998"/>
      <w:bookmarkEnd w:id="54"/>
      <w:r>
        <w:t>Sageman, B. B., Rich, J., Arthur, M. A., Dean, W. E., Savrda, C. E., and Bralower, T. J.: Multiple milankovitch cycles in the bridge creek limestone (Cenomanian-Turonian), western interior basin, 1998.</w:t>
      </w:r>
    </w:p>
    <w:p w14:paraId="49C89A15" w14:textId="77777777" w:rsidR="00407EA0" w:rsidRDefault="00000000">
      <w:pPr>
        <w:pStyle w:val="Bibliography"/>
      </w:pPr>
      <w:bookmarkStart w:id="56" w:name="ref-schmitz2013"/>
      <w:bookmarkEnd w:id="55"/>
      <w:r>
        <w:t>Schmitz, M. D. and Kuiper, K. F.: High-Precision Geochronology, Elements, 9, 25–30, 2013.</w:t>
      </w:r>
    </w:p>
    <w:p w14:paraId="2FCBE4E2" w14:textId="77777777" w:rsidR="00407EA0" w:rsidRDefault="00000000">
      <w:pPr>
        <w:pStyle w:val="Bibliography"/>
      </w:pPr>
      <w:bookmarkStart w:id="57" w:name="ref-schoene2019"/>
      <w:bookmarkEnd w:id="56"/>
      <w:r>
        <w:t>Schoene, B., Eddy, M. P., Samperton, K. M., Keller, C. B., Keller, G., Adatte, T., and Khadri, S. F.: U-Pb constraints on pulsed eruption of the Deccan Traps across the end-Cretaceous mass extinction, Science, 363, 862–866, 2019.</w:t>
      </w:r>
    </w:p>
    <w:p w14:paraId="3C186FFE" w14:textId="77777777" w:rsidR="00407EA0" w:rsidRDefault="00000000">
      <w:pPr>
        <w:pStyle w:val="Bibliography"/>
      </w:pPr>
      <w:bookmarkStart w:id="58" w:name="ref-shen2022"/>
      <w:bookmarkEnd w:id="57"/>
      <w:r>
        <w:t>Shen, C., Schmitz, M., Johnson, P., Davies, J. H., and Halverson, G. P.: U-Pb geochronology and cyclostratigraphy of the middle Ediacaran upper Jibalah Group, eastern Arabian Shield, Precambrian Research, 375, 106674, 2022.</w:t>
      </w:r>
    </w:p>
    <w:p w14:paraId="108D3E77" w14:textId="77777777" w:rsidR="00407EA0" w:rsidRDefault="00000000">
      <w:pPr>
        <w:pStyle w:val="Bibliography"/>
      </w:pPr>
      <w:bookmarkStart w:id="59" w:name="ref-sinnesael2019"/>
      <w:bookmarkEnd w:id="58"/>
      <w:r>
        <w:t>Sinnesael, M., De Vleeschouwer, D., Zeeden, C., Batenburg, S. J., Da Silva, A.-C., de Winter, N. J., Dinarès-Turell, J., Drury, A. J., Gambacorta, G., and Hilgen, F. J.: The Cyclostratigraphy Intercomparison Project (CIP): Consistency, merits and pitfalls, Earth-Science Reviews, 199, 102965, 2019.</w:t>
      </w:r>
    </w:p>
    <w:p w14:paraId="15A210E2" w14:textId="77777777" w:rsidR="00407EA0" w:rsidRDefault="00000000">
      <w:pPr>
        <w:pStyle w:val="Bibliography"/>
      </w:pPr>
      <w:bookmarkStart w:id="60" w:name="ref-telford2004"/>
      <w:bookmarkEnd w:id="59"/>
      <w:r>
        <w:t>Telford, R. J., Heegaard, E., and Birks, H. J. B.: All agedepth models are wrong: But how badly?, Quaternary Science Reviews, 23, 1–5, 2004.</w:t>
      </w:r>
    </w:p>
    <w:p w14:paraId="056E63AE" w14:textId="77777777" w:rsidR="00407EA0" w:rsidRDefault="00000000">
      <w:pPr>
        <w:pStyle w:val="Bibliography"/>
      </w:pPr>
      <w:bookmarkStart w:id="61" w:name="ref-trachsel2017"/>
      <w:bookmarkEnd w:id="60"/>
      <w:r>
        <w:t>Trachsel, M. and Telford, R. J.: All agedepth models are wrong, but are getting better, The Holocene, 27, 860–869, 2017.</w:t>
      </w:r>
    </w:p>
    <w:p w14:paraId="76F2B8D0" w14:textId="77777777" w:rsidR="00407EA0" w:rsidRDefault="00000000">
      <w:pPr>
        <w:pStyle w:val="Bibliography"/>
      </w:pPr>
      <w:bookmarkStart w:id="62" w:name="ref-trayler2020a"/>
      <w:bookmarkEnd w:id="61"/>
      <w:r>
        <w:t>Trayler, R. B., Schmitz, M. D., Cuitiño, J. I., Kohn, M. J., Bargo, M. S., Kay, R. F., Strömberg, C. A. E., and Vizcaíno, S. F.: An Improved Approach To Age-Depth Modeling In Deep Time: Implications For The Santa Cruz Formation, Argentina, Geological Society of America Bulletin, 132, 233–244, 2020.</w:t>
      </w:r>
      <w:bookmarkEnd w:id="33"/>
      <w:bookmarkEnd w:id="35"/>
      <w:bookmarkEnd w:id="62"/>
    </w:p>
    <w:sectPr w:rsidR="00407EA0" w:rsidSect="00E63B35">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Robin Trayler" w:date="2023-05-19T13:31:00Z" w:initials="RT">
    <w:p w14:paraId="6142DE17" w14:textId="77777777" w:rsidR="00766F20" w:rsidRDefault="00766F20" w:rsidP="00435824">
      <w:pPr>
        <w:jc w:val="left"/>
      </w:pPr>
      <w:r>
        <w:rPr>
          <w:rStyle w:val="CommentReference"/>
        </w:rPr>
        <w:annotationRef/>
      </w:r>
      <w:r>
        <w:rPr>
          <w:sz w:val="20"/>
          <w:szCs w:val="20"/>
        </w:rPr>
        <w:t>Do these bentonites have names I should be putting in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42DE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1F8C7" w16cex:dateUtc="2023-05-19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42DE17" w16cid:durableId="2811F8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77BB6" w14:textId="77777777" w:rsidR="005B65D2" w:rsidRDefault="005B65D2">
      <w:pPr>
        <w:spacing w:after="0"/>
      </w:pPr>
      <w:r>
        <w:separator/>
      </w:r>
    </w:p>
  </w:endnote>
  <w:endnote w:type="continuationSeparator" w:id="0">
    <w:p w14:paraId="2244AE83" w14:textId="77777777" w:rsidR="005B65D2" w:rsidRDefault="005B65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F92BC" w14:textId="77777777" w:rsidR="005B65D2" w:rsidRDefault="005B65D2">
      <w:r>
        <w:separator/>
      </w:r>
    </w:p>
  </w:footnote>
  <w:footnote w:type="continuationSeparator" w:id="0">
    <w:p w14:paraId="68AEE477" w14:textId="77777777" w:rsidR="005B65D2" w:rsidRDefault="005B65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7DE64A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C958B0A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49D25A2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33AEF8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ACEE92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C988DB9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CE270E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0E29ED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B06229A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278D7D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D44061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BEA9B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19CAB65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2C1AE401"/>
    <w:multiLevelType w:val="multilevel"/>
    <w:tmpl w:val="6B2029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4" w15:restartNumberingAfterBreak="0">
    <w:nsid w:val="593B750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640580667">
    <w:abstractNumId w:val="13"/>
  </w:num>
  <w:num w:numId="2" w16cid:durableId="1693267022">
    <w:abstractNumId w:val="0"/>
  </w:num>
  <w:num w:numId="3" w16cid:durableId="832330870">
    <w:abstractNumId w:val="0"/>
  </w:num>
  <w:num w:numId="4" w16cid:durableId="1464158999">
    <w:abstractNumId w:val="1"/>
  </w:num>
  <w:num w:numId="5" w16cid:durableId="346103698">
    <w:abstractNumId w:val="2"/>
  </w:num>
  <w:num w:numId="6" w16cid:durableId="1951886754">
    <w:abstractNumId w:val="3"/>
  </w:num>
  <w:num w:numId="7" w16cid:durableId="1401437899">
    <w:abstractNumId w:val="4"/>
  </w:num>
  <w:num w:numId="8" w16cid:durableId="2035840999">
    <w:abstractNumId w:val="9"/>
  </w:num>
  <w:num w:numId="9" w16cid:durableId="1359425153">
    <w:abstractNumId w:val="5"/>
  </w:num>
  <w:num w:numId="10" w16cid:durableId="1735854884">
    <w:abstractNumId w:val="6"/>
  </w:num>
  <w:num w:numId="11" w16cid:durableId="948003420">
    <w:abstractNumId w:val="7"/>
  </w:num>
  <w:num w:numId="12" w16cid:durableId="1783694301">
    <w:abstractNumId w:val="8"/>
  </w:num>
  <w:num w:numId="13" w16cid:durableId="103117196">
    <w:abstractNumId w:val="10"/>
  </w:num>
  <w:num w:numId="14" w16cid:durableId="219561596">
    <w:abstractNumId w:val="11"/>
  </w:num>
  <w:num w:numId="15" w16cid:durableId="1348172062">
    <w:abstractNumId w:val="14"/>
  </w:num>
  <w:num w:numId="16" w16cid:durableId="1751081776">
    <w:abstractNumId w:val="11"/>
  </w:num>
  <w:num w:numId="17" w16cid:durableId="22902219">
    <w:abstractNumId w:val="12"/>
  </w:num>
  <w:num w:numId="18" w16cid:durableId="1146750074">
    <w:abstractNumId w:val="1"/>
  </w:num>
  <w:num w:numId="19" w16cid:durableId="1454329480">
    <w:abstractNumId w:val="2"/>
  </w:num>
  <w:num w:numId="20" w16cid:durableId="1413769494">
    <w:abstractNumId w:val="3"/>
  </w:num>
  <w:num w:numId="21" w16cid:durableId="838958151">
    <w:abstractNumId w:val="4"/>
  </w:num>
  <w:num w:numId="22" w16cid:durableId="1727990747">
    <w:abstractNumId w:val="9"/>
  </w:num>
  <w:num w:numId="23" w16cid:durableId="1288470209">
    <w:abstractNumId w:val="5"/>
  </w:num>
  <w:num w:numId="24" w16cid:durableId="109783288">
    <w:abstractNumId w:val="6"/>
  </w:num>
  <w:num w:numId="25" w16cid:durableId="371275387">
    <w:abstractNumId w:val="7"/>
  </w:num>
  <w:num w:numId="26" w16cid:durableId="1352758466">
    <w:abstractNumId w:val="8"/>
  </w:num>
  <w:num w:numId="27" w16cid:durableId="87241427">
    <w:abstractNumId w:val="10"/>
  </w:num>
  <w:num w:numId="28" w16cid:durableId="967778412">
    <w:abstractNumId w:val="1"/>
  </w:num>
  <w:num w:numId="29" w16cid:durableId="685637787">
    <w:abstractNumId w:val="2"/>
  </w:num>
  <w:num w:numId="30" w16cid:durableId="544410711">
    <w:abstractNumId w:val="3"/>
  </w:num>
  <w:num w:numId="31" w16cid:durableId="426509771">
    <w:abstractNumId w:val="4"/>
  </w:num>
  <w:num w:numId="32" w16cid:durableId="278729044">
    <w:abstractNumId w:val="9"/>
  </w:num>
  <w:num w:numId="33" w16cid:durableId="1508405599">
    <w:abstractNumId w:val="5"/>
  </w:num>
  <w:num w:numId="34" w16cid:durableId="1303541882">
    <w:abstractNumId w:val="6"/>
  </w:num>
  <w:num w:numId="35" w16cid:durableId="730806211">
    <w:abstractNumId w:val="7"/>
  </w:num>
  <w:num w:numId="36" w16cid:durableId="1668481587">
    <w:abstractNumId w:val="8"/>
  </w:num>
  <w:num w:numId="37" w16cid:durableId="932516938">
    <w:abstractNumId w:val="10"/>
  </w:num>
  <w:num w:numId="38" w16cid:durableId="539826942">
    <w:abstractNumId w:val="1"/>
  </w:num>
  <w:num w:numId="39" w16cid:durableId="146242423">
    <w:abstractNumId w:val="2"/>
  </w:num>
  <w:num w:numId="40" w16cid:durableId="182788326">
    <w:abstractNumId w:val="3"/>
  </w:num>
  <w:num w:numId="41" w16cid:durableId="419378309">
    <w:abstractNumId w:val="4"/>
  </w:num>
  <w:num w:numId="42" w16cid:durableId="808400672">
    <w:abstractNumId w:val="9"/>
  </w:num>
  <w:num w:numId="43" w16cid:durableId="882908547">
    <w:abstractNumId w:val="5"/>
  </w:num>
  <w:num w:numId="44" w16cid:durableId="1083333376">
    <w:abstractNumId w:val="6"/>
  </w:num>
  <w:num w:numId="45" w16cid:durableId="664239855">
    <w:abstractNumId w:val="7"/>
  </w:num>
  <w:num w:numId="46" w16cid:durableId="1217547098">
    <w:abstractNumId w:val="8"/>
  </w:num>
  <w:num w:numId="47" w16cid:durableId="572812276">
    <w:abstractNumId w:val="10"/>
  </w:num>
  <w:num w:numId="48" w16cid:durableId="1254124472">
    <w:abstractNumId w:val="1"/>
  </w:num>
  <w:num w:numId="49" w16cid:durableId="1113986280">
    <w:abstractNumId w:val="2"/>
  </w:num>
  <w:num w:numId="50" w16cid:durableId="687173805">
    <w:abstractNumId w:val="3"/>
  </w:num>
  <w:num w:numId="51" w16cid:durableId="1040477888">
    <w:abstractNumId w:val="4"/>
  </w:num>
  <w:num w:numId="52" w16cid:durableId="1387946177">
    <w:abstractNumId w:val="9"/>
  </w:num>
  <w:num w:numId="53" w16cid:durableId="1505822203">
    <w:abstractNumId w:val="5"/>
  </w:num>
  <w:num w:numId="54" w16cid:durableId="510415389">
    <w:abstractNumId w:val="6"/>
  </w:num>
  <w:num w:numId="55" w16cid:durableId="1786997741">
    <w:abstractNumId w:val="7"/>
  </w:num>
  <w:num w:numId="56" w16cid:durableId="971785814">
    <w:abstractNumId w:val="8"/>
  </w:num>
  <w:num w:numId="57" w16cid:durableId="1884713183">
    <w:abstractNumId w:val="10"/>
  </w:num>
  <w:num w:numId="58" w16cid:durableId="1119110043">
    <w:abstractNumId w:val="1"/>
  </w:num>
  <w:num w:numId="59" w16cid:durableId="1510439718">
    <w:abstractNumId w:val="2"/>
  </w:num>
  <w:num w:numId="60" w16cid:durableId="384987865">
    <w:abstractNumId w:val="3"/>
  </w:num>
  <w:num w:numId="61" w16cid:durableId="617562480">
    <w:abstractNumId w:val="4"/>
  </w:num>
  <w:num w:numId="62" w16cid:durableId="1574001474">
    <w:abstractNumId w:val="9"/>
  </w:num>
  <w:num w:numId="63" w16cid:durableId="1154568191">
    <w:abstractNumId w:val="5"/>
  </w:num>
  <w:num w:numId="64" w16cid:durableId="625164528">
    <w:abstractNumId w:val="6"/>
  </w:num>
  <w:num w:numId="65" w16cid:durableId="415320967">
    <w:abstractNumId w:val="7"/>
  </w:num>
  <w:num w:numId="66" w16cid:durableId="706105845">
    <w:abstractNumId w:val="8"/>
  </w:num>
  <w:num w:numId="67" w16cid:durableId="1014381642">
    <w:abstractNumId w:val="10"/>
  </w:num>
  <w:num w:numId="68" w16cid:durableId="540358498">
    <w:abstractNumId w:val="1"/>
  </w:num>
  <w:num w:numId="69" w16cid:durableId="757140138">
    <w:abstractNumId w:val="2"/>
  </w:num>
  <w:num w:numId="70" w16cid:durableId="1006517555">
    <w:abstractNumId w:val="3"/>
  </w:num>
  <w:num w:numId="71" w16cid:durableId="569972557">
    <w:abstractNumId w:val="4"/>
  </w:num>
  <w:num w:numId="72" w16cid:durableId="1534003043">
    <w:abstractNumId w:val="9"/>
  </w:num>
  <w:num w:numId="73" w16cid:durableId="1097361988">
    <w:abstractNumId w:val="5"/>
  </w:num>
  <w:num w:numId="74" w16cid:durableId="880673772">
    <w:abstractNumId w:val="6"/>
  </w:num>
  <w:num w:numId="75" w16cid:durableId="169490038">
    <w:abstractNumId w:val="7"/>
  </w:num>
  <w:num w:numId="76" w16cid:durableId="160201436">
    <w:abstractNumId w:val="8"/>
  </w:num>
  <w:num w:numId="77" w16cid:durableId="771704934">
    <w:abstractNumId w:val="10"/>
  </w:num>
  <w:num w:numId="78" w16cid:durableId="290328801">
    <w:abstractNumId w:val="1"/>
  </w:num>
  <w:num w:numId="79" w16cid:durableId="447504959">
    <w:abstractNumId w:val="2"/>
  </w:num>
  <w:num w:numId="80" w16cid:durableId="57634370">
    <w:abstractNumId w:val="3"/>
  </w:num>
  <w:num w:numId="81" w16cid:durableId="1881744082">
    <w:abstractNumId w:val="4"/>
  </w:num>
  <w:num w:numId="82" w16cid:durableId="521013907">
    <w:abstractNumId w:val="9"/>
  </w:num>
  <w:num w:numId="83" w16cid:durableId="52242570">
    <w:abstractNumId w:val="5"/>
  </w:num>
  <w:num w:numId="84" w16cid:durableId="89008574">
    <w:abstractNumId w:val="6"/>
  </w:num>
  <w:num w:numId="85" w16cid:durableId="484857184">
    <w:abstractNumId w:val="7"/>
  </w:num>
  <w:num w:numId="86" w16cid:durableId="140074652">
    <w:abstractNumId w:val="8"/>
  </w:num>
  <w:num w:numId="87" w16cid:durableId="1805000527">
    <w:abstractNumId w:val="10"/>
  </w:num>
  <w:num w:numId="88" w16cid:durableId="543955324">
    <w:abstractNumId w:val="1"/>
  </w:num>
  <w:num w:numId="89" w16cid:durableId="1119494677">
    <w:abstractNumId w:val="2"/>
  </w:num>
  <w:num w:numId="90" w16cid:durableId="1041130734">
    <w:abstractNumId w:val="3"/>
  </w:num>
  <w:num w:numId="91" w16cid:durableId="1634211457">
    <w:abstractNumId w:val="4"/>
  </w:num>
  <w:num w:numId="92" w16cid:durableId="2119597948">
    <w:abstractNumId w:val="9"/>
  </w:num>
  <w:num w:numId="93" w16cid:durableId="376901351">
    <w:abstractNumId w:val="5"/>
  </w:num>
  <w:num w:numId="94" w16cid:durableId="1985894067">
    <w:abstractNumId w:val="6"/>
  </w:num>
  <w:num w:numId="95" w16cid:durableId="2009746941">
    <w:abstractNumId w:val="7"/>
  </w:num>
  <w:num w:numId="96" w16cid:durableId="1591036514">
    <w:abstractNumId w:val="8"/>
  </w:num>
  <w:num w:numId="97" w16cid:durableId="772893497">
    <w:abstractNumId w:val="10"/>
  </w:num>
  <w:num w:numId="98" w16cid:durableId="1599098861">
    <w:abstractNumId w:val="1"/>
  </w:num>
  <w:num w:numId="99" w16cid:durableId="77101176">
    <w:abstractNumId w:val="2"/>
  </w:num>
  <w:num w:numId="100" w16cid:durableId="2011372217">
    <w:abstractNumId w:val="3"/>
  </w:num>
  <w:num w:numId="101" w16cid:durableId="1116365093">
    <w:abstractNumId w:val="4"/>
  </w:num>
  <w:num w:numId="102" w16cid:durableId="1320117502">
    <w:abstractNumId w:val="9"/>
  </w:num>
  <w:num w:numId="103" w16cid:durableId="1957903471">
    <w:abstractNumId w:val="5"/>
  </w:num>
  <w:num w:numId="104" w16cid:durableId="1493719417">
    <w:abstractNumId w:val="6"/>
  </w:num>
  <w:num w:numId="105" w16cid:durableId="2136364688">
    <w:abstractNumId w:val="7"/>
  </w:num>
  <w:num w:numId="106" w16cid:durableId="1912808870">
    <w:abstractNumId w:val="8"/>
  </w:num>
  <w:num w:numId="107" w16cid:durableId="1420054655">
    <w:abstractNumId w:val="10"/>
  </w:num>
  <w:num w:numId="108" w16cid:durableId="1176336903">
    <w:abstractNumId w:val="1"/>
  </w:num>
  <w:num w:numId="109" w16cid:durableId="2058315176">
    <w:abstractNumId w:val="2"/>
  </w:num>
  <w:num w:numId="110" w16cid:durableId="2029987632">
    <w:abstractNumId w:val="3"/>
  </w:num>
  <w:num w:numId="111" w16cid:durableId="2115051755">
    <w:abstractNumId w:val="4"/>
  </w:num>
  <w:num w:numId="112" w16cid:durableId="1471022722">
    <w:abstractNumId w:val="9"/>
  </w:num>
  <w:num w:numId="113" w16cid:durableId="558249839">
    <w:abstractNumId w:val="5"/>
  </w:num>
  <w:num w:numId="114" w16cid:durableId="1823158638">
    <w:abstractNumId w:val="6"/>
  </w:num>
  <w:num w:numId="115" w16cid:durableId="1758938611">
    <w:abstractNumId w:val="7"/>
  </w:num>
  <w:num w:numId="116" w16cid:durableId="365716011">
    <w:abstractNumId w:val="8"/>
  </w:num>
  <w:num w:numId="117" w16cid:durableId="1132820362">
    <w:abstractNumId w:val="10"/>
  </w:num>
  <w:num w:numId="118" w16cid:durableId="1609971660">
    <w:abstractNumId w:val="1"/>
  </w:num>
  <w:num w:numId="119" w16cid:durableId="2010280540">
    <w:abstractNumId w:val="2"/>
  </w:num>
  <w:num w:numId="120" w16cid:durableId="1545873980">
    <w:abstractNumId w:val="3"/>
  </w:num>
  <w:num w:numId="121" w16cid:durableId="1287079137">
    <w:abstractNumId w:val="4"/>
  </w:num>
  <w:num w:numId="122" w16cid:durableId="2070378944">
    <w:abstractNumId w:val="9"/>
  </w:num>
  <w:num w:numId="123" w16cid:durableId="1937059225">
    <w:abstractNumId w:val="5"/>
  </w:num>
  <w:num w:numId="124" w16cid:durableId="999041037">
    <w:abstractNumId w:val="6"/>
  </w:num>
  <w:num w:numId="125" w16cid:durableId="1651791266">
    <w:abstractNumId w:val="7"/>
  </w:num>
  <w:num w:numId="126" w16cid:durableId="1261838987">
    <w:abstractNumId w:val="8"/>
  </w:num>
  <w:num w:numId="127" w16cid:durableId="1586764560">
    <w:abstractNumId w:val="10"/>
  </w:num>
  <w:num w:numId="128" w16cid:durableId="1833447869">
    <w:abstractNumId w:val="1"/>
  </w:num>
  <w:num w:numId="129" w16cid:durableId="1197156615">
    <w:abstractNumId w:val="2"/>
  </w:num>
  <w:num w:numId="130" w16cid:durableId="1491025007">
    <w:abstractNumId w:val="3"/>
  </w:num>
  <w:num w:numId="131" w16cid:durableId="727730658">
    <w:abstractNumId w:val="4"/>
  </w:num>
  <w:num w:numId="132" w16cid:durableId="1955748396">
    <w:abstractNumId w:val="9"/>
  </w:num>
  <w:num w:numId="133" w16cid:durableId="868881328">
    <w:abstractNumId w:val="5"/>
  </w:num>
  <w:num w:numId="134" w16cid:durableId="48576954">
    <w:abstractNumId w:val="6"/>
  </w:num>
  <w:num w:numId="135" w16cid:durableId="1106265416">
    <w:abstractNumId w:val="7"/>
  </w:num>
  <w:num w:numId="136" w16cid:durableId="1950818331">
    <w:abstractNumId w:val="8"/>
  </w:num>
  <w:num w:numId="137" w16cid:durableId="1302880009">
    <w:abstractNumId w:val="10"/>
  </w:num>
  <w:num w:numId="138" w16cid:durableId="136579148">
    <w:abstractNumId w:val="1"/>
  </w:num>
  <w:num w:numId="139" w16cid:durableId="219557527">
    <w:abstractNumId w:val="2"/>
  </w:num>
  <w:num w:numId="140" w16cid:durableId="1389067924">
    <w:abstractNumId w:val="3"/>
  </w:num>
  <w:num w:numId="141" w16cid:durableId="329992243">
    <w:abstractNumId w:val="4"/>
  </w:num>
  <w:num w:numId="142" w16cid:durableId="270548768">
    <w:abstractNumId w:val="9"/>
  </w:num>
  <w:num w:numId="143" w16cid:durableId="186218446">
    <w:abstractNumId w:val="5"/>
  </w:num>
  <w:num w:numId="144" w16cid:durableId="1448811793">
    <w:abstractNumId w:val="6"/>
  </w:num>
  <w:num w:numId="145" w16cid:durableId="2051416890">
    <w:abstractNumId w:val="7"/>
  </w:num>
  <w:num w:numId="146" w16cid:durableId="1187019721">
    <w:abstractNumId w:val="8"/>
  </w:num>
  <w:num w:numId="147" w16cid:durableId="1272473708">
    <w:abstractNumId w:val="10"/>
  </w:num>
  <w:num w:numId="148" w16cid:durableId="390691245">
    <w:abstractNumId w:val="1"/>
  </w:num>
  <w:num w:numId="149" w16cid:durableId="898129094">
    <w:abstractNumId w:val="2"/>
  </w:num>
  <w:num w:numId="150" w16cid:durableId="742799470">
    <w:abstractNumId w:val="3"/>
  </w:num>
  <w:num w:numId="151" w16cid:durableId="574513322">
    <w:abstractNumId w:val="4"/>
  </w:num>
  <w:num w:numId="152" w16cid:durableId="1229456919">
    <w:abstractNumId w:val="9"/>
  </w:num>
  <w:num w:numId="153" w16cid:durableId="1761365683">
    <w:abstractNumId w:val="5"/>
  </w:num>
  <w:num w:numId="154" w16cid:durableId="654605996">
    <w:abstractNumId w:val="6"/>
  </w:num>
  <w:num w:numId="155" w16cid:durableId="213585350">
    <w:abstractNumId w:val="7"/>
  </w:num>
  <w:num w:numId="156" w16cid:durableId="1085301852">
    <w:abstractNumId w:val="8"/>
  </w:num>
  <w:num w:numId="157" w16cid:durableId="1711303544">
    <w:abstractNumId w:val="10"/>
  </w:num>
  <w:num w:numId="158" w16cid:durableId="469321515">
    <w:abstractNumId w:val="1"/>
  </w:num>
  <w:num w:numId="159" w16cid:durableId="481241424">
    <w:abstractNumId w:val="2"/>
  </w:num>
  <w:num w:numId="160" w16cid:durableId="1203136108">
    <w:abstractNumId w:val="3"/>
  </w:num>
  <w:num w:numId="161" w16cid:durableId="1316493800">
    <w:abstractNumId w:val="4"/>
  </w:num>
  <w:num w:numId="162" w16cid:durableId="2055495397">
    <w:abstractNumId w:val="9"/>
  </w:num>
  <w:num w:numId="163" w16cid:durableId="1473672212">
    <w:abstractNumId w:val="5"/>
  </w:num>
  <w:num w:numId="164" w16cid:durableId="1802962830">
    <w:abstractNumId w:val="6"/>
  </w:num>
  <w:num w:numId="165" w16cid:durableId="1072045064">
    <w:abstractNumId w:val="7"/>
  </w:num>
  <w:num w:numId="166" w16cid:durableId="1382093951">
    <w:abstractNumId w:val="8"/>
  </w:num>
  <w:num w:numId="167" w16cid:durableId="1061054385">
    <w:abstractNumId w:val="10"/>
  </w:num>
  <w:num w:numId="168" w16cid:durableId="1169758722">
    <w:abstractNumId w:val="1"/>
  </w:num>
  <w:num w:numId="169" w16cid:durableId="136650020">
    <w:abstractNumId w:val="2"/>
  </w:num>
  <w:num w:numId="170" w16cid:durableId="1592160927">
    <w:abstractNumId w:val="3"/>
  </w:num>
  <w:num w:numId="171" w16cid:durableId="1063480797">
    <w:abstractNumId w:val="4"/>
  </w:num>
  <w:num w:numId="172" w16cid:durableId="241453069">
    <w:abstractNumId w:val="9"/>
  </w:num>
  <w:num w:numId="173" w16cid:durableId="1013729433">
    <w:abstractNumId w:val="5"/>
  </w:num>
  <w:num w:numId="174" w16cid:durableId="1553954620">
    <w:abstractNumId w:val="6"/>
  </w:num>
  <w:num w:numId="175" w16cid:durableId="1970162804">
    <w:abstractNumId w:val="7"/>
  </w:num>
  <w:num w:numId="176" w16cid:durableId="625425790">
    <w:abstractNumId w:val="8"/>
  </w:num>
  <w:num w:numId="177" w16cid:durableId="210757283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in Trayler">
    <w15:presenceInfo w15:providerId="AD" w15:userId="S::rtrayler@ucmerced.edu::d133f0b0-87fd-41da-958f-5e527522b7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07EA0"/>
    <w:rsid w:val="001115C3"/>
    <w:rsid w:val="002668CA"/>
    <w:rsid w:val="0037153A"/>
    <w:rsid w:val="00407EA0"/>
    <w:rsid w:val="00507D63"/>
    <w:rsid w:val="005B65D2"/>
    <w:rsid w:val="00766F20"/>
    <w:rsid w:val="00BF1322"/>
    <w:rsid w:val="00C300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B6E1C5"/>
  <w15:docId w15:val="{F12F5CBA-8A0D-7F49-97AE-AC75AF2E5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CB530E"/>
    <w:pPr>
      <w:jc w:val="both"/>
    </w:pPr>
    <w:rPr>
      <w:rFonts w:ascii="Helvetica" w:hAnsi="Helvetica"/>
      <w:sz w:val="22"/>
    </w:rPr>
  </w:style>
  <w:style w:type="paragraph" w:styleId="Heading1">
    <w:name w:val="heading 1"/>
    <w:basedOn w:val="Normal"/>
    <w:next w:val="BodyText"/>
    <w:autoRedefine/>
    <w:uiPriority w:val="9"/>
    <w:qFormat/>
    <w:rsid w:val="00CB530E"/>
    <w:pPr>
      <w:keepNext/>
      <w:keepLines/>
      <w:numPr>
        <w:numId w:val="15"/>
      </w:numPr>
      <w:spacing w:before="480" w:after="0"/>
      <w:outlineLvl w:val="0"/>
    </w:pPr>
    <w:rPr>
      <w:rFonts w:eastAsiaTheme="majorEastAsia" w:cstheme="majorBidi"/>
      <w:b/>
      <w:bCs/>
      <w:color w:val="000000" w:themeColor="text1"/>
      <w:sz w:val="28"/>
      <w:szCs w:val="32"/>
    </w:rPr>
  </w:style>
  <w:style w:type="paragraph" w:styleId="Heading2">
    <w:name w:val="heading 2"/>
    <w:basedOn w:val="Normal"/>
    <w:next w:val="BodyText"/>
    <w:uiPriority w:val="9"/>
    <w:unhideWhenUsed/>
    <w:qFormat/>
    <w:rsid w:val="00CB530E"/>
    <w:pPr>
      <w:keepNext/>
      <w:keepLines/>
      <w:numPr>
        <w:ilvl w:val="1"/>
        <w:numId w:val="15"/>
      </w:numPr>
      <w:spacing w:before="200" w:after="0"/>
      <w:outlineLvl w:val="1"/>
    </w:pPr>
    <w:rPr>
      <w:rFonts w:eastAsiaTheme="majorEastAsia" w:cstheme="majorBidi"/>
      <w:b/>
      <w:bCs/>
      <w:szCs w:val="28"/>
    </w:rPr>
  </w:style>
  <w:style w:type="paragraph" w:styleId="Heading3">
    <w:name w:val="heading 3"/>
    <w:basedOn w:val="Normal"/>
    <w:next w:val="BodyText"/>
    <w:uiPriority w:val="9"/>
    <w:unhideWhenUsed/>
    <w:qFormat/>
    <w:rsid w:val="00CB530E"/>
    <w:pPr>
      <w:keepNext/>
      <w:keepLines/>
      <w:numPr>
        <w:ilvl w:val="2"/>
        <w:numId w:val="15"/>
      </w:numPr>
      <w:spacing w:before="200" w:after="0"/>
      <w:outlineLvl w:val="2"/>
    </w:pPr>
    <w:rPr>
      <w:rFonts w:eastAsiaTheme="majorEastAsia" w:cstheme="majorBidi"/>
      <w:b/>
      <w:bCs/>
      <w:color w:val="000000" w:themeColor="text1"/>
    </w:rPr>
  </w:style>
  <w:style w:type="paragraph" w:styleId="Heading4">
    <w:name w:val="heading 4"/>
    <w:basedOn w:val="Normal"/>
    <w:next w:val="BodyText"/>
    <w:uiPriority w:val="9"/>
    <w:unhideWhenUsed/>
    <w:qFormat/>
    <w:pPr>
      <w:keepNext/>
      <w:keepLines/>
      <w:numPr>
        <w:ilvl w:val="3"/>
        <w:numId w:val="15"/>
      </w:numPr>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numPr>
        <w:ilvl w:val="4"/>
        <w:numId w:val="15"/>
      </w:numPr>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numPr>
        <w:ilvl w:val="5"/>
        <w:numId w:val="15"/>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numPr>
        <w:ilvl w:val="6"/>
        <w:numId w:val="15"/>
      </w:num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numPr>
        <w:ilvl w:val="7"/>
        <w:numId w:val="15"/>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numPr>
        <w:ilvl w:val="8"/>
        <w:numId w:val="15"/>
      </w:num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65F23"/>
    <w:pPr>
      <w:spacing w:before="180" w:after="180" w:line="480" w:lineRule="auto"/>
      <w:ind w:firstLine="567"/>
    </w:pPr>
  </w:style>
  <w:style w:type="paragraph" w:customStyle="1" w:styleId="FirstParagraph">
    <w:name w:val="First Paragraph"/>
    <w:basedOn w:val="BodyText"/>
    <w:next w:val="BodyText"/>
    <w:qFormat/>
    <w:rsid w:val="00365F23"/>
  </w:style>
  <w:style w:type="paragraph" w:customStyle="1" w:styleId="Compact">
    <w:name w:val="Compact"/>
    <w:basedOn w:val="BodyText"/>
    <w:qFormat/>
    <w:rsid w:val="004C407B"/>
    <w:pPr>
      <w:spacing w:before="36" w:after="36" w:line="240" w:lineRule="auto"/>
    </w:pPr>
  </w:style>
  <w:style w:type="paragraph" w:styleId="Title">
    <w:name w:val="Title"/>
    <w:basedOn w:val="Normal"/>
    <w:next w:val="BodyText"/>
    <w:autoRedefine/>
    <w:qFormat/>
    <w:rsid w:val="00CB530E"/>
    <w:pPr>
      <w:keepNext/>
      <w:keepLines/>
      <w:spacing w:before="480" w:after="240"/>
      <w:jc w:val="center"/>
    </w:pPr>
    <w:rPr>
      <w:rFonts w:eastAsiaTheme="majorEastAsia" w:cstheme="majorBidi"/>
      <w:b/>
      <w:bCs/>
      <w:color w:val="000000" w:themeColor="text1"/>
      <w:sz w:val="32"/>
      <w:szCs w:val="36"/>
    </w:rPr>
  </w:style>
  <w:style w:type="paragraph" w:styleId="Subtitle">
    <w:name w:val="Subtitle"/>
    <w:basedOn w:val="Title"/>
    <w:next w:val="BodyText"/>
    <w:qFormat/>
    <w:rsid w:val="00F3750F"/>
    <w:pPr>
      <w:spacing w:before="240"/>
    </w:pPr>
    <w:rPr>
      <w:sz w:val="28"/>
      <w:szCs w:val="30"/>
    </w:rPr>
  </w:style>
  <w:style w:type="paragraph" w:customStyle="1" w:styleId="Author">
    <w:name w:val="Author"/>
    <w:next w:val="BodyText"/>
    <w:autoRedefine/>
    <w:qFormat/>
    <w:rsid w:val="00CB530E"/>
    <w:pPr>
      <w:keepNext/>
      <w:keepLines/>
      <w:jc w:val="center"/>
    </w:pPr>
    <w:rPr>
      <w:rFonts w:ascii="Helvetica" w:hAnsi="Helvetica"/>
      <w:sz w:val="22"/>
    </w:rPr>
  </w:style>
  <w:style w:type="paragraph" w:styleId="Date">
    <w:name w:val="Date"/>
    <w:next w:val="BodyText"/>
    <w:autoRedefine/>
    <w:qFormat/>
    <w:rsid w:val="00F3750F"/>
    <w:pPr>
      <w:keepNext/>
      <w:keepLines/>
      <w:jc w:val="center"/>
    </w:pPr>
    <w:rPr>
      <w:rFonts w:ascii="Times New Roman" w:hAnsi="Times New Roman"/>
    </w:rPr>
  </w:style>
  <w:style w:type="paragraph" w:customStyle="1" w:styleId="Abstract">
    <w:name w:val="Abstract"/>
    <w:basedOn w:val="Normal"/>
    <w:next w:val="BodyText"/>
    <w:autoRedefine/>
    <w:qFormat/>
    <w:rsid w:val="00F3750F"/>
    <w:pPr>
      <w:keepNext/>
      <w:keepLines/>
      <w:spacing w:before="300" w:after="300"/>
    </w:pPr>
    <w:rPr>
      <w:szCs w:val="20"/>
    </w:rPr>
  </w:style>
  <w:style w:type="paragraph" w:styleId="Bibliography">
    <w:name w:val="Bibliography"/>
    <w:basedOn w:val="Normal"/>
    <w:autoRedefine/>
    <w:qFormat/>
    <w:rsid w:val="004C407B"/>
    <w:pPr>
      <w:ind w:left="567" w:hanging="567"/>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F3750F"/>
    <w:pPr>
      <w:spacing w:after="120"/>
    </w:pPr>
    <w:rPr>
      <w:i/>
      <w:sz w:val="20"/>
    </w:rPr>
  </w:style>
  <w:style w:type="paragraph" w:customStyle="1" w:styleId="TableCaption">
    <w:name w:val="Table Caption"/>
    <w:basedOn w:val="Caption"/>
    <w:rsid w:val="004C407B"/>
    <w:pPr>
      <w:keepNext/>
    </w:pPr>
    <w:rPr>
      <w:i w:val="0"/>
    </w:rPr>
  </w:style>
  <w:style w:type="paragraph" w:customStyle="1" w:styleId="ImageCaption">
    <w:name w:val="Image Caption"/>
    <w:basedOn w:val="Caption"/>
    <w:rsid w:val="00766F20"/>
    <w:rPr>
      <w:i w:val="0"/>
      <w:color w:val="1F497D" w:themeColor="text2"/>
    </w:rPr>
  </w:style>
  <w:style w:type="paragraph" w:customStyle="1" w:styleId="Figure">
    <w:name w:val="Figure"/>
    <w:basedOn w:val="Normal"/>
    <w:rsid w:val="00F3750F"/>
    <w:rPr>
      <w:sz w:val="20"/>
    </w:rPr>
  </w:style>
  <w:style w:type="paragraph" w:customStyle="1" w:styleId="CaptionedFigure">
    <w:name w:val="Captioned Figure"/>
    <w:basedOn w:val="Figure"/>
    <w:rsid w:val="00CB530E"/>
    <w:pPr>
      <w:keepNext/>
    </w:pPr>
    <w:rPr>
      <w:sz w:val="22"/>
    </w:rPr>
  </w:style>
  <w:style w:type="character" w:customStyle="1" w:styleId="CaptionChar">
    <w:name w:val="Caption Char"/>
    <w:basedOn w:val="DefaultParagraphFont"/>
    <w:link w:val="Caption"/>
    <w:rsid w:val="00F3750F"/>
    <w:rPr>
      <w:rFonts w:ascii="Times New Roman" w:hAnsi="Times New Roman"/>
      <w:i/>
      <w:sz w:val="20"/>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rFonts w:ascii="Times New Roman" w:hAnsi="Times New Roman"/>
      <w:i/>
      <w:sz w:val="20"/>
    </w:rPr>
  </w:style>
  <w:style w:type="character" w:styleId="FootnoteReference">
    <w:name w:val="footnote reference"/>
    <w:basedOn w:val="CaptionChar"/>
    <w:rPr>
      <w:rFonts w:ascii="Times New Roman" w:hAnsi="Times New Roman"/>
      <w:i/>
      <w:sz w:val="20"/>
      <w:vertAlign w:val="superscript"/>
    </w:rPr>
  </w:style>
  <w:style w:type="character" w:styleId="Hyperlink">
    <w:name w:val="Hyperlink"/>
    <w:basedOn w:val="CaptionChar"/>
    <w:rsid w:val="00B638D8"/>
    <w:rPr>
      <w:rFonts w:ascii="Helvetica" w:hAnsi="Helvetica"/>
      <w:i/>
      <w:color w:val="1F497D" w:themeColor="text2"/>
      <w:sz w:val="22"/>
    </w:rPr>
  </w:style>
  <w:style w:type="paragraph" w:styleId="TOCHeading">
    <w:name w:val="TOC Heading"/>
    <w:basedOn w:val="Heading1"/>
    <w:next w:val="BodyText"/>
    <w:uiPriority w:val="39"/>
    <w:unhideWhenUsed/>
    <w:qFormat/>
    <w:rsid w:val="00F3750F"/>
    <w:pPr>
      <w:spacing w:before="240" w:line="259" w:lineRule="auto"/>
      <w:outlineLvl w:val="9"/>
    </w:pPr>
    <w:rPr>
      <w:b w:val="0"/>
      <w:bCs w:val="0"/>
      <w:color w:val="auto"/>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onstantTok">
    <w:name w:val="ConstantTok"/>
    <w:basedOn w:val="VerbatimChar"/>
    <w:rPr>
      <w:rFonts w:ascii="Consolas" w:hAnsi="Consolas"/>
      <w:i/>
      <w:color w:val="880000"/>
      <w:sz w:val="22"/>
    </w:rPr>
  </w:style>
  <w:style w:type="character" w:customStyle="1" w:styleId="CharTok">
    <w:name w:val="CharTok"/>
    <w:basedOn w:val="VerbatimChar"/>
    <w:rPr>
      <w:rFonts w:ascii="Consolas" w:hAnsi="Consolas"/>
      <w:i/>
      <w:color w:val="4070A0"/>
      <w:sz w:val="22"/>
    </w:rPr>
  </w:style>
  <w:style w:type="character" w:customStyle="1" w:styleId="SpecialCharTok">
    <w:name w:val="Speci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VerbatimStringTok">
    <w:name w:val="VerbatimStringTok"/>
    <w:basedOn w:val="VerbatimChar"/>
    <w:rPr>
      <w:rFonts w:ascii="Consolas" w:hAnsi="Consolas"/>
      <w:i/>
      <w:color w:val="4070A0"/>
      <w:sz w:val="22"/>
    </w:rPr>
  </w:style>
  <w:style w:type="character" w:customStyle="1" w:styleId="SpecialStringTok">
    <w:name w:val="SpecialStringTok"/>
    <w:basedOn w:val="VerbatimChar"/>
    <w:rPr>
      <w:rFonts w:ascii="Consolas" w:hAnsi="Consolas"/>
      <w:i/>
      <w:color w:val="BB6688"/>
      <w:sz w:val="22"/>
    </w:rPr>
  </w:style>
  <w:style w:type="character" w:customStyle="1" w:styleId="ImportTok">
    <w:name w:val="ImportTok"/>
    <w:basedOn w:val="VerbatimChar"/>
    <w:rPr>
      <w:rFonts w:ascii="Consolas" w:hAnsi="Consolas"/>
      <w:i/>
      <w:sz w:val="22"/>
    </w:rPr>
  </w:style>
  <w:style w:type="character" w:customStyle="1" w:styleId="CommentTok">
    <w:name w:val="CommentTok"/>
    <w:basedOn w:val="VerbatimChar"/>
    <w:rPr>
      <w:rFonts w:ascii="Consolas" w:hAnsi="Consolas"/>
      <w:i w:val="0"/>
      <w:color w:val="60A0B0"/>
      <w:sz w:val="22"/>
    </w:rPr>
  </w:style>
  <w:style w:type="character" w:customStyle="1" w:styleId="DocumentationTok">
    <w:name w:val="DocumentationTok"/>
    <w:basedOn w:val="VerbatimChar"/>
    <w:rPr>
      <w:rFonts w:ascii="Consolas" w:hAnsi="Consolas"/>
      <w:i w:val="0"/>
      <w:color w:val="BA2121"/>
      <w:sz w:val="22"/>
    </w:rPr>
  </w:style>
  <w:style w:type="character" w:customStyle="1" w:styleId="AnnotationTok">
    <w:name w:val="AnnotationTok"/>
    <w:basedOn w:val="VerbatimChar"/>
    <w:rPr>
      <w:rFonts w:ascii="Consolas" w:hAnsi="Consolas"/>
      <w:b/>
      <w:i w:val="0"/>
      <w:color w:val="60A0B0"/>
      <w:sz w:val="22"/>
    </w:rPr>
  </w:style>
  <w:style w:type="character" w:customStyle="1" w:styleId="CommentVarTok">
    <w:name w:val="CommentVarTok"/>
    <w:basedOn w:val="VerbatimChar"/>
    <w:rPr>
      <w:rFonts w:ascii="Consolas" w:hAnsi="Consolas"/>
      <w:b/>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FunctionTok">
    <w:name w:val="FunctionTok"/>
    <w:basedOn w:val="VerbatimChar"/>
    <w:rPr>
      <w:rFonts w:ascii="Consolas" w:hAnsi="Consolas"/>
      <w:i/>
      <w:color w:val="06287E"/>
      <w:sz w:val="22"/>
    </w:rPr>
  </w:style>
  <w:style w:type="character" w:customStyle="1" w:styleId="VariableTok">
    <w:name w:val="VariableTok"/>
    <w:basedOn w:val="VerbatimChar"/>
    <w:rPr>
      <w:rFonts w:ascii="Consolas" w:hAnsi="Consolas"/>
      <w:i/>
      <w:color w:val="19177C"/>
      <w:sz w:val="22"/>
    </w:rPr>
  </w:style>
  <w:style w:type="character" w:customStyle="1" w:styleId="ControlFlowTok">
    <w:name w:val="ControlFlowTok"/>
    <w:basedOn w:val="VerbatimChar"/>
    <w:rPr>
      <w:rFonts w:ascii="Consolas" w:hAnsi="Consolas"/>
      <w:b/>
      <w:i/>
      <w:color w:val="007020"/>
      <w:sz w:val="22"/>
    </w:rPr>
  </w:style>
  <w:style w:type="character" w:customStyle="1" w:styleId="OperatorTok">
    <w:name w:val="OperatorTok"/>
    <w:basedOn w:val="VerbatimChar"/>
    <w:rPr>
      <w:rFonts w:ascii="Consolas" w:hAnsi="Consolas"/>
      <w:i/>
      <w:color w:val="666666"/>
      <w:sz w:val="22"/>
    </w:rPr>
  </w:style>
  <w:style w:type="character" w:customStyle="1" w:styleId="BuiltInTok">
    <w:name w:val="BuiltInTok"/>
    <w:basedOn w:val="VerbatimChar"/>
    <w:rPr>
      <w:rFonts w:ascii="Consolas" w:hAnsi="Consolas"/>
      <w:i/>
      <w:sz w:val="22"/>
    </w:rPr>
  </w:style>
  <w:style w:type="character" w:customStyle="1" w:styleId="ExtensionTok">
    <w:name w:val="ExtensionTok"/>
    <w:basedOn w:val="VerbatimChar"/>
    <w:rPr>
      <w:rFonts w:ascii="Consolas" w:hAnsi="Consolas"/>
      <w:i/>
      <w:sz w:val="22"/>
    </w:rPr>
  </w:style>
  <w:style w:type="character" w:customStyle="1" w:styleId="PreprocessorTok">
    <w:name w:val="PreprocessorTok"/>
    <w:basedOn w:val="VerbatimChar"/>
    <w:rPr>
      <w:rFonts w:ascii="Consolas" w:hAnsi="Consolas"/>
      <w:i/>
      <w:color w:val="BC7A00"/>
      <w:sz w:val="22"/>
    </w:rPr>
  </w:style>
  <w:style w:type="character" w:customStyle="1" w:styleId="AttributeTok">
    <w:name w:val="AttributeTok"/>
    <w:basedOn w:val="VerbatimChar"/>
    <w:rPr>
      <w:rFonts w:ascii="Consolas" w:hAnsi="Consolas"/>
      <w:i/>
      <w:color w:val="7D9029"/>
      <w:sz w:val="22"/>
    </w:rPr>
  </w:style>
  <w:style w:type="character" w:customStyle="1" w:styleId="RegionMarkerTok">
    <w:name w:val="RegionMarkerTok"/>
    <w:basedOn w:val="VerbatimChar"/>
    <w:rPr>
      <w:rFonts w:ascii="Consolas" w:hAnsi="Consolas"/>
      <w:i/>
      <w:sz w:val="22"/>
    </w:rPr>
  </w:style>
  <w:style w:type="character" w:customStyle="1" w:styleId="InformationTok">
    <w:name w:val="InformationTok"/>
    <w:basedOn w:val="VerbatimChar"/>
    <w:rPr>
      <w:rFonts w:ascii="Consolas" w:hAnsi="Consolas"/>
      <w:b/>
      <w:i w:val="0"/>
      <w:color w:val="60A0B0"/>
      <w:sz w:val="22"/>
    </w:rPr>
  </w:style>
  <w:style w:type="character" w:customStyle="1" w:styleId="WarningTok">
    <w:name w:val="WarningTok"/>
    <w:basedOn w:val="VerbatimChar"/>
    <w:rPr>
      <w:rFonts w:ascii="Consolas" w:hAnsi="Consolas"/>
      <w:b/>
      <w:i w:val="0"/>
      <w:color w:val="60A0B0"/>
      <w:sz w:val="22"/>
    </w:rPr>
  </w:style>
  <w:style w:type="character" w:customStyle="1" w:styleId="AlertTok">
    <w:name w:val="AlertTok"/>
    <w:basedOn w:val="VerbatimChar"/>
    <w:rPr>
      <w:rFonts w:ascii="Consolas" w:hAnsi="Consolas"/>
      <w:b/>
      <w:i/>
      <w:color w:val="FF0000"/>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character" w:customStyle="1" w:styleId="BodyTextChar">
    <w:name w:val="Body Text Char"/>
    <w:basedOn w:val="DefaultParagraphFont"/>
    <w:link w:val="BodyText"/>
    <w:rsid w:val="00365F23"/>
    <w:rPr>
      <w:rFonts w:ascii="Helvetica" w:hAnsi="Helvetica"/>
      <w:sz w:val="22"/>
    </w:rPr>
  </w:style>
  <w:style w:type="character" w:styleId="FollowedHyperlink">
    <w:name w:val="FollowedHyperlink"/>
    <w:basedOn w:val="DefaultParagraphFont"/>
    <w:semiHidden/>
    <w:unhideWhenUsed/>
    <w:rsid w:val="00B638D8"/>
    <w:rPr>
      <w:color w:val="800080" w:themeColor="followedHyperlink"/>
      <w:u w:val="single"/>
    </w:rPr>
  </w:style>
  <w:style w:type="character" w:styleId="LineNumber">
    <w:name w:val="line number"/>
    <w:basedOn w:val="DefaultParagraphFont"/>
    <w:semiHidden/>
    <w:unhideWhenUsed/>
    <w:rsid w:val="00E63B35"/>
  </w:style>
  <w:style w:type="character" w:styleId="CommentReference">
    <w:name w:val="annotation reference"/>
    <w:basedOn w:val="DefaultParagraphFont"/>
    <w:semiHidden/>
    <w:unhideWhenUsed/>
    <w:rsid w:val="00766F20"/>
    <w:rPr>
      <w:sz w:val="16"/>
      <w:szCs w:val="16"/>
    </w:rPr>
  </w:style>
  <w:style w:type="paragraph" w:styleId="CommentText">
    <w:name w:val="annotation text"/>
    <w:basedOn w:val="Normal"/>
    <w:link w:val="CommentTextChar"/>
    <w:semiHidden/>
    <w:unhideWhenUsed/>
    <w:rsid w:val="00766F20"/>
    <w:rPr>
      <w:sz w:val="20"/>
      <w:szCs w:val="20"/>
    </w:rPr>
  </w:style>
  <w:style w:type="character" w:customStyle="1" w:styleId="CommentTextChar">
    <w:name w:val="Comment Text Char"/>
    <w:basedOn w:val="DefaultParagraphFont"/>
    <w:link w:val="CommentText"/>
    <w:semiHidden/>
    <w:rsid w:val="00766F20"/>
    <w:rPr>
      <w:rFonts w:ascii="Helvetica" w:hAnsi="Helvetica"/>
      <w:sz w:val="20"/>
      <w:szCs w:val="20"/>
    </w:rPr>
  </w:style>
  <w:style w:type="paragraph" w:styleId="CommentSubject">
    <w:name w:val="annotation subject"/>
    <w:basedOn w:val="CommentText"/>
    <w:next w:val="CommentText"/>
    <w:link w:val="CommentSubjectChar"/>
    <w:semiHidden/>
    <w:unhideWhenUsed/>
    <w:rsid w:val="00766F20"/>
    <w:rPr>
      <w:b/>
      <w:bCs/>
    </w:rPr>
  </w:style>
  <w:style w:type="character" w:customStyle="1" w:styleId="CommentSubjectChar">
    <w:name w:val="Comment Subject Char"/>
    <w:basedOn w:val="CommentTextChar"/>
    <w:link w:val="CommentSubject"/>
    <w:semiHidden/>
    <w:rsid w:val="00766F20"/>
    <w:rPr>
      <w:rFonts w:ascii="Helvetica" w:hAnsi="Helvetic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bintrayler/astroBayes" TargetMode="External"/><Relationship Id="rId13" Type="http://schemas.microsoft.com/office/2016/09/relationships/commentsIds" Target="commentsIds.xml"/><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1111/j.1467-9876.2008.00623.x" TargetMode="External"/><Relationship Id="rId7" Type="http://schemas.openxmlformats.org/officeDocument/2006/relationships/image" Target="media/image1.emf"/><Relationship Id="rId12" Type="http://schemas.microsoft.com/office/2011/relationships/commentsExtended" Target="commentsExtended.xml"/><Relationship Id="rId17" Type="http://schemas.openxmlformats.org/officeDocument/2006/relationships/image" Target="media/image5.emf"/><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hyperlink" Target="https://doi.org/doi:10.1130/G35618.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hyperlink" Target="https://doi.org/doi:10.1016/j.quascirev.2011.07.024" TargetMode="External"/><Relationship Id="rId10" Type="http://schemas.openxmlformats.org/officeDocument/2006/relationships/hyperlink" Target="https://www.cyclostratigraphy.org/the-cip-initiative" TargetMode="External"/><Relationship Id="rId19" Type="http://schemas.openxmlformats.org/officeDocument/2006/relationships/hyperlink" Target="https://doi.org/doi:10.1214/11-BA618" TargetMode="External"/><Relationship Id="rId4" Type="http://schemas.openxmlformats.org/officeDocument/2006/relationships/webSettings" Target="webSettings.xml"/><Relationship Id="rId9" Type="http://schemas.openxmlformats.org/officeDocument/2006/relationships/image" Target="media/image2.emf"/><Relationship Id="rId14" Type="http://schemas.microsoft.com/office/2018/08/relationships/commentsExtensible" Target="commentsExtensible.xml"/><Relationship Id="rId22" Type="http://schemas.openxmlformats.org/officeDocument/2006/relationships/hyperlink" Target="https://doi.org/10.17605/OSF.IO/TQX3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22</Pages>
  <Words>5534</Words>
  <Characters>31545</Characters>
  <Application>Microsoft Office Word</Application>
  <DocSecurity>0</DocSecurity>
  <Lines>262</Lines>
  <Paragraphs>74</Paragraphs>
  <ScaleCrop>false</ScaleCrop>
  <Company/>
  <LinksUpToDate>false</LinksUpToDate>
  <CharactersWithSpaces>37005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Integration of Astrochronology and Radioisotope Geochronology</dc:title>
  <dc:creator>Robin B. Trayler; Stephen R. Meyers; Mark D. Schmitz</dc:creator>
  <cp:keywords/>
  <cp:lastModifiedBy>Robin Trayler</cp:lastModifiedBy>
  <cp:revision>8</cp:revision>
  <dcterms:created xsi:type="dcterms:W3CDTF">2023-05-19T20:28:00Z</dcterms:created>
  <dcterms:modified xsi:type="dcterms:W3CDTF">2023-05-19T20:36:00Z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True</vt:lpwstr>
  </property>
  <property fmtid="{D5CDD505-2E9C-101B-9397-08002B2CF9AE}" pid="3" name="autoSectionLabels">
    <vt:lpwstr>False</vt:lpwstr>
  </property>
  <property fmtid="{D5CDD505-2E9C-101B-9397-08002B2CF9AE}" pid="4" name="bibliography">
    <vt:lpwstr>/Users/robintrayler/Zotero/ref_library.bib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/Users/robintrayler/Zotero/styles/copernicus-publications.csl</vt:lpwstr>
  </property>
  <property fmtid="{D5CDD505-2E9C-101B-9397-08002B2CF9AE}" pid="15" name="eqLabels">
    <vt:lpwstr>arabic</vt:lpwstr>
  </property>
  <property fmtid="{D5CDD505-2E9C-101B-9397-08002B2CF9AE}" pid="16" name="eqnBlockInlineMath">
    <vt:lpwstr>False</vt:lpwstr>
  </property>
  <property fmtid="{D5CDD505-2E9C-101B-9397-08002B2CF9AE}" pid="17" name="eqnBlockTemplate">
    <vt:lpwstr>ti</vt:lpwstr>
  </property>
  <property fmtid="{D5CDD505-2E9C-101B-9397-08002B2CF9AE}" pid="18" name="eqnIndexTemplate">
    <vt:lpwstr>(i)</vt:lpwstr>
  </property>
  <property fmtid="{D5CDD505-2E9C-101B-9397-08002B2CF9AE}" pid="19" name="eqnInlineTemplate">
    <vt:lpwstr>eequationNumberTeX{i}</vt:lpwstr>
  </property>
  <property fmtid="{D5CDD505-2E9C-101B-9397-08002B2CF9AE}" pid="20" name="eqnPrefix">
    <vt:lpwstr/>
  </property>
  <property fmtid="{D5CDD505-2E9C-101B-9397-08002B2CF9AE}" pid="21" name="eqnPrefixTemplate">
    <vt:lpwstr>p i</vt:lpwstr>
  </property>
  <property fmtid="{D5CDD505-2E9C-101B-9397-08002B2CF9AE}" pid="22" name="equationNumberTeX">
    <vt:lpwstr>\qquad</vt:lpwstr>
  </property>
  <property fmtid="{D5CDD505-2E9C-101B-9397-08002B2CF9AE}" pid="23" name="figLabels">
    <vt:lpwstr>arabic</vt:lpwstr>
  </property>
  <property fmtid="{D5CDD505-2E9C-101B-9397-08002B2CF9AE}" pid="24" name="figPrefix">
    <vt:lpwstr>Figure</vt:lpwstr>
  </property>
  <property fmtid="{D5CDD505-2E9C-101B-9397-08002B2CF9AE}" pid="25" name="figPrefixTemplate">
    <vt:lpwstr>p i</vt:lpwstr>
  </property>
  <property fmtid="{D5CDD505-2E9C-101B-9397-08002B2CF9AE}" pid="26" name="figureTemplate">
    <vt:lpwstr>figureTitle ititleDelim t</vt:lpwstr>
  </property>
  <property fmtid="{D5CDD505-2E9C-101B-9397-08002B2CF9AE}" pid="27" name="figureTitle">
    <vt:lpwstr>Figure</vt:lpwstr>
  </property>
  <property fmtid="{D5CDD505-2E9C-101B-9397-08002B2CF9AE}" pid="28" name="fontsize">
    <vt:lpwstr>11pt</vt:lpwstr>
  </property>
  <property fmtid="{D5CDD505-2E9C-101B-9397-08002B2CF9AE}" pid="29" name="geometry">
    <vt:lpwstr>margin=1.0in</vt:lpwstr>
  </property>
  <property fmtid="{D5CDD505-2E9C-101B-9397-08002B2CF9AE}" pid="30" name="header-includes">
    <vt:lpwstr/>
  </property>
  <property fmtid="{D5CDD505-2E9C-101B-9397-08002B2CF9AE}" pid="31" name="indent">
    <vt:lpwstr>True</vt:lpwstr>
  </property>
  <property fmtid="{D5CDD505-2E9C-101B-9397-08002B2CF9AE}" pid="32" name="lastDelim">
    <vt:lpwstr>, </vt:lpwstr>
  </property>
  <property fmtid="{D5CDD505-2E9C-101B-9397-08002B2CF9AE}" pid="33" name="link-citations">
    <vt:lpwstr>False</vt:lpwstr>
  </property>
  <property fmtid="{D5CDD505-2E9C-101B-9397-08002B2CF9AE}" pid="34" name="linkReferences">
    <vt:lpwstr>False</vt:lpwstr>
  </property>
  <property fmtid="{D5CDD505-2E9C-101B-9397-08002B2CF9AE}" pid="35" name="listItemTitleDelim">
    <vt:lpwstr>.</vt:lpwstr>
  </property>
  <property fmtid="{D5CDD505-2E9C-101B-9397-08002B2CF9AE}" pid="36" name="listingTemplate">
    <vt:lpwstr>listingTitle ititleDelim t</vt:lpwstr>
  </property>
  <property fmtid="{D5CDD505-2E9C-101B-9397-08002B2CF9AE}" pid="37" name="listingTitle">
    <vt:lpwstr>Listing</vt:lpwstr>
  </property>
  <property fmtid="{D5CDD505-2E9C-101B-9397-08002B2CF9AE}" pid="38" name="listings">
    <vt:lpwstr>False</vt:lpwstr>
  </property>
  <property fmtid="{D5CDD505-2E9C-101B-9397-08002B2CF9AE}" pid="39" name="lofItemTemplate">
    <vt:lpwstr>lofItemTitleilistItemTitleDelimt </vt:lpwstr>
  </property>
  <property fmtid="{D5CDD505-2E9C-101B-9397-08002B2CF9AE}" pid="40" name="lofItemTitle">
    <vt:lpwstr/>
  </property>
  <property fmtid="{D5CDD505-2E9C-101B-9397-08002B2CF9AE}" pid="41" name="lofTitle">
    <vt:lpwstr>List of Figures</vt:lpwstr>
  </property>
  <property fmtid="{D5CDD505-2E9C-101B-9397-08002B2CF9AE}" pid="42" name="lolItemTemplate">
    <vt:lpwstr>lolItemTitleilistItemTitleDelimt </vt:lpwstr>
  </property>
  <property fmtid="{D5CDD505-2E9C-101B-9397-08002B2CF9AE}" pid="43" name="lolItemTitle">
    <vt:lpwstr/>
  </property>
  <property fmtid="{D5CDD505-2E9C-101B-9397-08002B2CF9AE}" pid="44" name="lolTitle">
    <vt:lpwstr>List of Listings</vt:lpwstr>
  </property>
  <property fmtid="{D5CDD505-2E9C-101B-9397-08002B2CF9AE}" pid="45" name="lotItemTemplate">
    <vt:lpwstr>lotItemTitleilistItemTitleDelimt </vt:lpwstr>
  </property>
  <property fmtid="{D5CDD505-2E9C-101B-9397-08002B2CF9AE}" pid="46" name="lotItemTitle">
    <vt:lpwstr/>
  </property>
  <property fmtid="{D5CDD505-2E9C-101B-9397-08002B2CF9AE}" pid="47" name="lotTitle">
    <vt:lpwstr>List of Tables</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Helvetica</vt:lpwstr>
  </property>
  <property fmtid="{D5CDD505-2E9C-101B-9397-08002B2CF9AE}" pid="52" name="nameInLink">
    <vt:lpwstr>False</vt:lpwstr>
  </property>
  <property fmtid="{D5CDD505-2E9C-101B-9397-08002B2CF9AE}" pid="53" name="numberSections">
    <vt:lpwstr>False</vt:lpwstr>
  </property>
  <property fmtid="{D5CDD505-2E9C-101B-9397-08002B2CF9AE}" pid="54" name="pairDelim">
    <vt:lpwstr>, </vt:lpwstr>
  </property>
  <property fmtid="{D5CDD505-2E9C-101B-9397-08002B2CF9AE}" pid="55" name="rangeDelim">
    <vt:lpwstr>-</vt:lpwstr>
  </property>
  <property fmtid="{D5CDD505-2E9C-101B-9397-08002B2CF9AE}" pid="56" name="refDelim">
    <vt:lpwstr>, </vt:lpwstr>
  </property>
  <property fmtid="{D5CDD505-2E9C-101B-9397-08002B2CF9AE}" pid="57" name="refIndexTemplate">
    <vt:lpwstr>isuf</vt:lpwstr>
  </property>
  <property fmtid="{D5CDD505-2E9C-101B-9397-08002B2CF9AE}" pid="58" name="secHeaderDelim">
    <vt:lpwstr> </vt:lpwstr>
  </property>
  <property fmtid="{D5CDD505-2E9C-101B-9397-08002B2CF9AE}" pid="59" name="secHeaderTemplate">
    <vt:lpwstr>isecHeaderDelim[n]t</vt:lpwstr>
  </property>
  <property fmtid="{D5CDD505-2E9C-101B-9397-08002B2CF9AE}" pid="60" name="secLabels">
    <vt:lpwstr>arabic</vt:lpwstr>
  </property>
  <property fmtid="{D5CDD505-2E9C-101B-9397-08002B2CF9AE}" pid="61" name="secPrefix">
    <vt:lpwstr>Section</vt:lpwstr>
  </property>
  <property fmtid="{D5CDD505-2E9C-101B-9397-08002B2CF9AE}" pid="62" name="secPrefixTemplate">
    <vt:lpwstr>p i</vt:lpwstr>
  </property>
  <property fmtid="{D5CDD505-2E9C-101B-9397-08002B2CF9AE}" pid="63" name="sectionsDepth">
    <vt:lpwstr>0</vt:lpwstr>
  </property>
  <property fmtid="{D5CDD505-2E9C-101B-9397-08002B2CF9AE}" pid="64" name="subfigGrid">
    <vt:lpwstr>False</vt:lpwstr>
  </property>
  <property fmtid="{D5CDD505-2E9C-101B-9397-08002B2CF9AE}" pid="65" name="subfigLabels">
    <vt:lpwstr>alpha a</vt:lpwstr>
  </property>
  <property fmtid="{D5CDD505-2E9C-101B-9397-08002B2CF9AE}" pid="66" name="subfigureChildTemplate">
    <vt:lpwstr>i</vt:lpwstr>
  </property>
  <property fmtid="{D5CDD505-2E9C-101B-9397-08002B2CF9AE}" pid="67" name="subfigureRefIndexTemplate">
    <vt:lpwstr>isuf (s)</vt:lpwstr>
  </property>
  <property fmtid="{D5CDD505-2E9C-101B-9397-08002B2CF9AE}" pid="68" name="subfigureTemplate">
    <vt:lpwstr>figureTitle ititleDelim t. ccs</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Table</vt:lpwstr>
  </property>
  <property fmtid="{D5CDD505-2E9C-101B-9397-08002B2CF9AE}" pid="74" name="tblPrefixTemplate">
    <vt:lpwstr>p i</vt:lpwstr>
  </property>
  <property fmtid="{D5CDD505-2E9C-101B-9397-08002B2CF9AE}" pid="75" name="titleDelim">
    <vt:lpwstr>:</vt:lpwstr>
  </property>
</Properties>
</file>