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F27CB" w14:textId="77777777" w:rsidR="00162DC8" w:rsidRDefault="001F3E15" w:rsidP="00E65910">
      <w:pPr>
        <w:pStyle w:val="Title"/>
        <w:spacing w:line="600" w:lineRule="auto"/>
      </w:pPr>
      <w:r>
        <w:t>Evaluating the Efficacy of Bone Collagen Isolation Using Stable Isotope Analysis and Infrared Spectroscopy</w:t>
      </w:r>
    </w:p>
    <w:p w14:paraId="33E65F5A" w14:textId="77777777" w:rsidR="00162DC8" w:rsidRDefault="001F3E15" w:rsidP="00E65910">
      <w:pPr>
        <w:pStyle w:val="Author"/>
        <w:spacing w:line="600" w:lineRule="auto"/>
      </w:pPr>
      <w:r>
        <w:t>Robin B. Trayler</w:t>
      </w:r>
    </w:p>
    <w:p w14:paraId="27E4D9E9" w14:textId="77777777" w:rsidR="00162DC8" w:rsidRDefault="001F3E15" w:rsidP="00E65910">
      <w:pPr>
        <w:pStyle w:val="Author"/>
        <w:spacing w:line="600" w:lineRule="auto"/>
      </w:pPr>
      <w:r>
        <w:t>Pedro Valencia Landa</w:t>
      </w:r>
    </w:p>
    <w:p w14:paraId="11888DCC" w14:textId="77777777" w:rsidR="00162DC8" w:rsidRDefault="001F3E15" w:rsidP="00E65910">
      <w:pPr>
        <w:pStyle w:val="Author"/>
        <w:spacing w:line="600" w:lineRule="auto"/>
      </w:pPr>
      <w:r>
        <w:t>Sora L. Kim</w:t>
      </w:r>
    </w:p>
    <w:p w14:paraId="3EB48FE5" w14:textId="77777777" w:rsidR="00162DC8" w:rsidRDefault="001F3E15" w:rsidP="00E65910">
      <w:pPr>
        <w:pStyle w:val="Heading1"/>
        <w:spacing w:line="600" w:lineRule="auto"/>
      </w:pPr>
      <w:bookmarkStart w:id="0" w:name="rationale"/>
      <w:r>
        <w:t>Rationale</w:t>
      </w:r>
    </w:p>
    <w:p w14:paraId="3001144B" w14:textId="77777777" w:rsidR="00162DC8" w:rsidRDefault="001F3E15" w:rsidP="00E65910">
      <w:pPr>
        <w:pStyle w:val="FirstParagraph"/>
        <w:spacing w:line="600" w:lineRule="auto"/>
      </w:pPr>
      <w:r>
        <w:t xml:space="preserve">This introduction must convey the significance of the research and consist of 2–3 sentences (approximately 50 words) describing the importance of the study to a broad, non-expert audience. Authors may consider the following questions in the composition of </w:t>
      </w:r>
      <w:r>
        <w:t>their rationale: What is the problem? Why is the research important?What significance does it have to the immediate scientific community or to society as a whole?</w:t>
      </w:r>
    </w:p>
    <w:p w14:paraId="34743B64" w14:textId="77777777" w:rsidR="00162DC8" w:rsidRDefault="001F3E15" w:rsidP="00E65910">
      <w:pPr>
        <w:pStyle w:val="Heading1"/>
        <w:spacing w:line="600" w:lineRule="auto"/>
      </w:pPr>
      <w:bookmarkStart w:id="1" w:name="methods"/>
      <w:bookmarkEnd w:id="0"/>
      <w:r>
        <w:t>Methods</w:t>
      </w:r>
    </w:p>
    <w:p w14:paraId="6A17435E" w14:textId="77777777" w:rsidR="00162DC8" w:rsidRDefault="001F3E15" w:rsidP="00E65910">
      <w:pPr>
        <w:pStyle w:val="FirstParagraph"/>
        <w:spacing w:line="600" w:lineRule="auto"/>
      </w:pPr>
      <w:r>
        <w:t>A succinct description of the specialized processes, techniques and mass spectrometry</w:t>
      </w:r>
      <w:r>
        <w:t xml:space="preserve"> instrumentation used in the study (maximum of 75 words). For example, the ionization </w:t>
      </w:r>
      <w:r>
        <w:lastRenderedPageBreak/>
        <w:t>technique and the type of mass spectrometer used will be of particular importance to other mass spectrometrists.</w:t>
      </w:r>
    </w:p>
    <w:p w14:paraId="19805766" w14:textId="77777777" w:rsidR="00162DC8" w:rsidRDefault="001F3E15" w:rsidP="00E65910">
      <w:pPr>
        <w:pStyle w:val="Heading1"/>
        <w:spacing w:line="600" w:lineRule="auto"/>
      </w:pPr>
      <w:bookmarkStart w:id="2" w:name="results"/>
      <w:bookmarkEnd w:id="1"/>
      <w:r>
        <w:t>Results</w:t>
      </w:r>
    </w:p>
    <w:p w14:paraId="6BA5AD42" w14:textId="77777777" w:rsidR="00162DC8" w:rsidRDefault="001F3E15" w:rsidP="00E65910">
      <w:pPr>
        <w:pStyle w:val="FirstParagraph"/>
        <w:spacing w:line="600" w:lineRule="auto"/>
      </w:pPr>
      <w:r>
        <w:t>Up to 75 words describing the outcome of the stud</w:t>
      </w:r>
      <w:r>
        <w:t xml:space="preserve">y. This should include the most importantexperimental findings. For example, for a classical analytical assay figures of merit and validation data should be summarized. A structural elucidation study may list important new compounds, proposed dissociation </w:t>
      </w:r>
      <w:r>
        <w:t>mechanisms and associated data such as accurate mass measurements and measurement uncertainties. For proteomics and metabolomics it is important to give the number of significant features, ion suppression effects, newly discovered biomarker molecules, etc</w:t>
      </w:r>
    </w:p>
    <w:p w14:paraId="4DF4A893" w14:textId="77777777" w:rsidR="00162DC8" w:rsidRDefault="001F3E15" w:rsidP="00E65910">
      <w:pPr>
        <w:pStyle w:val="Heading1"/>
        <w:spacing w:line="600" w:lineRule="auto"/>
      </w:pPr>
      <w:bookmarkStart w:id="3" w:name="conclusions"/>
      <w:bookmarkEnd w:id="2"/>
      <w:r>
        <w:t>Conclusions</w:t>
      </w:r>
    </w:p>
    <w:p w14:paraId="3DF3E2F3" w14:textId="77777777" w:rsidR="00162DC8" w:rsidRDefault="001F3E15" w:rsidP="00E65910">
      <w:pPr>
        <w:pStyle w:val="FirstParagraph"/>
        <w:spacing w:line="600" w:lineRule="auto"/>
      </w:pPr>
      <w:r>
        <w:t>One or two sentences (approximately 50 words) to explain the significance of the results and the conclusions drawn. The conclusions may also answer a question that was outlined in the Rationale section, and/or provide implications of the descri</w:t>
      </w:r>
      <w:r>
        <w:t>bed research or examples for further applications. These conclusions should be understandable by a broad non-specialist specific audience. Example</w:t>
      </w:r>
    </w:p>
    <w:p w14:paraId="50564C0F" w14:textId="77777777" w:rsidR="00162DC8" w:rsidRDefault="001F3E15" w:rsidP="00E65910">
      <w:pPr>
        <w:pStyle w:val="Heading1"/>
        <w:spacing w:line="600" w:lineRule="auto"/>
      </w:pPr>
      <w:bookmarkStart w:id="4" w:name="sec:introduction"/>
      <w:bookmarkEnd w:id="3"/>
      <w:r>
        <w:rPr>
          <w:rStyle w:val="SectionNumber"/>
        </w:rPr>
        <w:lastRenderedPageBreak/>
        <w:t>1</w:t>
      </w:r>
      <w:r>
        <w:tab/>
        <w:t>Introduction</w:t>
      </w:r>
    </w:p>
    <w:p w14:paraId="19B0B5BE" w14:textId="77777777" w:rsidR="00162DC8" w:rsidRDefault="001F3E15" w:rsidP="00E65910">
      <w:pPr>
        <w:pStyle w:val="FirstParagraph"/>
        <w:spacing w:line="600" w:lineRule="auto"/>
      </w:pPr>
      <w:r>
        <w:t>Analyzing collagen via stable isotope analysis is one of the most common methods for inferring</w:t>
      </w:r>
      <w:r>
        <w:t xml:space="preserve"> ecological information from the remains of modern and fossil animals</w:t>
      </w:r>
      <w:hyperlink w:anchor="ref-clementz2012">
        <w:r>
          <w:rPr>
            <w:rStyle w:val="Hyperlink"/>
            <w:vertAlign w:val="superscript"/>
          </w:rPr>
          <w:t>1</w:t>
        </w:r>
      </w:hyperlink>
      <w:r>
        <w:rPr>
          <w:vertAlign w:val="superscript"/>
        </w:rPr>
        <w:t>,</w:t>
      </w:r>
      <w:hyperlink w:anchor="ref-koch1994">
        <w:r>
          <w:rPr>
            <w:rStyle w:val="Hyperlink"/>
            <w:vertAlign w:val="superscript"/>
          </w:rPr>
          <w:t>2</w:t>
        </w:r>
      </w:hyperlink>
      <w:r>
        <w:t>. Collagen has a relatively slow turnover rate</w:t>
      </w:r>
      <w:hyperlink w:anchor="ref-hedges2007">
        <w:r>
          <w:rPr>
            <w:rStyle w:val="Hyperlink"/>
            <w:vertAlign w:val="superscript"/>
          </w:rPr>
          <w:t>3</w:t>
        </w:r>
      </w:hyperlink>
      <w:r>
        <w:t>, and analyzing its stable</w:t>
      </w:r>
      <w:r>
        <w:t xml:space="preserve"> carbon (δ</w:t>
      </w:r>
      <w:r>
        <w:rPr>
          <w:vertAlign w:val="superscript"/>
        </w:rPr>
        <w:t>13</w:t>
      </w:r>
      <w:r>
        <w:t>C) and nitrogen (δ</w:t>
      </w:r>
      <w:r>
        <w:rPr>
          <w:vertAlign w:val="superscript"/>
        </w:rPr>
        <w:t>15</w:t>
      </w:r>
      <w:r>
        <w:t>N) isotope composition provides time-averaged insights about diet and trophic dynamic</w:t>
      </w:r>
      <w:hyperlink w:anchor="ref-clementz2012">
        <w:r>
          <w:rPr>
            <w:rStyle w:val="Hyperlink"/>
            <w:vertAlign w:val="superscript"/>
          </w:rPr>
          <w:t>1</w:t>
        </w:r>
      </w:hyperlink>
      <w:r>
        <w:rPr>
          <w:vertAlign w:val="superscript"/>
        </w:rPr>
        <w:t>,</w:t>
      </w:r>
      <w:hyperlink w:anchor="ref-koch1994">
        <w:r>
          <w:rPr>
            <w:rStyle w:val="Hyperlink"/>
            <w:vertAlign w:val="superscript"/>
          </w:rPr>
          <w:t>2</w:t>
        </w:r>
      </w:hyperlink>
      <w:r>
        <w:rPr>
          <w:vertAlign w:val="superscript"/>
        </w:rPr>
        <w:t>,</w:t>
      </w:r>
      <w:hyperlink w:anchor="ref-deniro1978">
        <w:r>
          <w:rPr>
            <w:rStyle w:val="Hyperlink"/>
            <w:vertAlign w:val="superscript"/>
          </w:rPr>
          <w:t>4</w:t>
        </w:r>
      </w:hyperlink>
      <w:r>
        <w:rPr>
          <w:vertAlign w:val="superscript"/>
        </w:rPr>
        <w:t>–</w:t>
      </w:r>
      <w:hyperlink w:anchor="ref-ambrose1990">
        <w:r>
          <w:rPr>
            <w:rStyle w:val="Hyperlink"/>
            <w:vertAlign w:val="superscript"/>
          </w:rPr>
          <w:t>6</w:t>
        </w:r>
      </w:hyperlink>
      <w:r>
        <w:t>. Furthermore, since collagen is relatively insoluble</w:t>
      </w:r>
      <w:hyperlink w:anchor="ref-schwarcz1991">
        <w:r>
          <w:rPr>
            <w:rStyle w:val="Hyperlink"/>
            <w:vertAlign w:val="superscript"/>
          </w:rPr>
          <w:t>7</w:t>
        </w:r>
      </w:hyperlink>
      <w:r>
        <w:t xml:space="preserve"> it persists in the fossil record for ~10</w:t>
      </w:r>
      <w:r>
        <w:rPr>
          <w:vertAlign w:val="superscript"/>
        </w:rPr>
        <w:t>5</w:t>
      </w:r>
      <w:r>
        <w:t xml:space="preserve"> years, allowing the investigation of animal ecology from the late Pleistocene through the Holocene</w:t>
      </w:r>
      <w:hyperlink w:anchor="ref-clementz2012">
        <w:r>
          <w:rPr>
            <w:rStyle w:val="Hyperlink"/>
            <w:vertAlign w:val="superscript"/>
          </w:rPr>
          <w:t>1</w:t>
        </w:r>
      </w:hyperlink>
      <w:r>
        <w:t>. The amino acid composition and elemental content (~35% carbon, ~11% nitrogen) are well characterized, so it is relatively straightforward to identify and remove contaminants in collagen prior to stable isotope analysis</w:t>
      </w:r>
      <w:hyperlink w:anchor="ref-ambrose1990">
        <w:r>
          <w:rPr>
            <w:rStyle w:val="Hyperlink"/>
            <w:vertAlign w:val="superscript"/>
          </w:rPr>
          <w:t>6</w:t>
        </w:r>
      </w:hyperlink>
      <w:r>
        <w:rPr>
          <w:vertAlign w:val="superscript"/>
        </w:rPr>
        <w:t>,</w:t>
      </w:r>
      <w:hyperlink w:anchor="ref-szpak2011">
        <w:r>
          <w:rPr>
            <w:rStyle w:val="Hyperlink"/>
            <w:vertAlign w:val="superscript"/>
          </w:rPr>
          <w:t>8</w:t>
        </w:r>
      </w:hyperlink>
      <w:r>
        <w:rPr>
          <w:vertAlign w:val="superscript"/>
        </w:rPr>
        <w:t>–</w:t>
      </w:r>
      <w:hyperlink w:anchor="ref-fuller2015">
        <w:r>
          <w:rPr>
            <w:rStyle w:val="Hyperlink"/>
            <w:vertAlign w:val="superscript"/>
          </w:rPr>
          <w:t>11</w:t>
        </w:r>
      </w:hyperlink>
      <w:r>
        <w:t>. However, analysis of bone collagen is complicated, as bone is a composite material with both mineral and organic (collagen) phases. In par</w:t>
      </w:r>
      <w:r>
        <w:t>ticular while only the organic (collagen) contains significant nitrogen contents, both the mineral and organic phases contain carbon. Bulk bone contains about 9% collagen-bound carbon and 1% carbonate-bound carbon. Furthermore, in mammals, since the diet-t</w:t>
      </w:r>
      <w:r>
        <w:t>issue stable isotope enrichment factors for carbonate-bound (~ +14‰) and collagen-bound (~ +5‰) carbon are significantly different</w:t>
      </w:r>
      <w:hyperlink w:anchor="ref-passey2005a">
        <w:r>
          <w:rPr>
            <w:rStyle w:val="Hyperlink"/>
            <w:vertAlign w:val="superscript"/>
          </w:rPr>
          <w:t>12</w:t>
        </w:r>
      </w:hyperlink>
      <w:r>
        <w:rPr>
          <w:vertAlign w:val="superscript"/>
        </w:rPr>
        <w:t>,</w:t>
      </w:r>
      <w:hyperlink w:anchor="ref-ambrose1993">
        <w:r>
          <w:rPr>
            <w:rStyle w:val="Hyperlink"/>
            <w:vertAlign w:val="superscript"/>
          </w:rPr>
          <w:t>13</w:t>
        </w:r>
      </w:hyperlink>
      <w:r>
        <w:t>, stable isotope analysis of bulk bone will lead to δ</w:t>
      </w:r>
      <w:r>
        <w:rPr>
          <w:vertAlign w:val="superscript"/>
        </w:rPr>
        <w:t>13</w:t>
      </w:r>
      <w:r>
        <w:t>C values that reflect a weighted average of both components.</w:t>
      </w:r>
    </w:p>
    <w:p w14:paraId="2B38E8C8" w14:textId="77777777" w:rsidR="00162DC8" w:rsidRDefault="001F3E15" w:rsidP="00E65910">
      <w:pPr>
        <w:pStyle w:val="BodyText"/>
        <w:spacing w:line="600" w:lineRule="auto"/>
      </w:pPr>
      <w:r>
        <w:t>Bone collagen is usually isolated via acid digestion of the mineral fraction, using either hydrochloric acid (HCl) or Ethylenediaminetetraac</w:t>
      </w:r>
      <w:r>
        <w:t>etic acid (EDTA)</w:t>
      </w:r>
      <w:hyperlink w:anchor="ref-ambrose1990">
        <w:r>
          <w:rPr>
            <w:rStyle w:val="Hyperlink"/>
            <w:vertAlign w:val="superscript"/>
          </w:rPr>
          <w:t>6</w:t>
        </w:r>
      </w:hyperlink>
      <w:r>
        <w:rPr>
          <w:vertAlign w:val="superscript"/>
        </w:rPr>
        <w:t>,</w:t>
      </w:r>
      <w:hyperlink w:anchor="ref-tuross1988">
        <w:r>
          <w:rPr>
            <w:rStyle w:val="Hyperlink"/>
            <w:vertAlign w:val="superscript"/>
          </w:rPr>
          <w:t>10</w:t>
        </w:r>
      </w:hyperlink>
      <w:r>
        <w:rPr>
          <w:vertAlign w:val="superscript"/>
        </w:rPr>
        <w:t>,</w:t>
      </w:r>
      <w:hyperlink w:anchor="ref-longin1971">
        <w:r>
          <w:rPr>
            <w:rStyle w:val="Hyperlink"/>
            <w:vertAlign w:val="superscript"/>
          </w:rPr>
          <w:t>14</w:t>
        </w:r>
      </w:hyperlink>
      <w:r>
        <w:t xml:space="preserve">. However there is </w:t>
      </w:r>
      <w:r>
        <w:lastRenderedPageBreak/>
        <w:t>considerable variation in published demineralization methods. Some studies recommend higher acid conce</w:t>
      </w:r>
      <w:r>
        <w:t>ntrations but shorter reaction times</w:t>
      </w:r>
      <w:hyperlink w:anchor="ref-ambrose1990">
        <w:r>
          <w:rPr>
            <w:rStyle w:val="Hyperlink"/>
            <w:vertAlign w:val="superscript"/>
          </w:rPr>
          <w:t>6</w:t>
        </w:r>
      </w:hyperlink>
      <w:r>
        <w:rPr>
          <w:vertAlign w:val="superscript"/>
        </w:rPr>
        <w:t>,</w:t>
      </w:r>
      <w:hyperlink w:anchor="ref-pestle2010">
        <w:r>
          <w:rPr>
            <w:rStyle w:val="Hyperlink"/>
            <w:vertAlign w:val="superscript"/>
          </w:rPr>
          <w:t>15</w:t>
        </w:r>
      </w:hyperlink>
      <w:r>
        <w:t>, while others use lower acid concentrations and long reaction times</w:t>
      </w:r>
      <w:hyperlink w:anchor="ref-sealy2014">
        <w:r>
          <w:rPr>
            <w:rStyle w:val="Hyperlink"/>
            <w:vertAlign w:val="superscript"/>
          </w:rPr>
          <w:t>16</w:t>
        </w:r>
      </w:hyperlink>
      <w:r>
        <w:t>, or forgo mineral removal all toug</w:t>
      </w:r>
      <w:r>
        <w:t>her</w:t>
      </w:r>
      <w:hyperlink w:anchor="ref-brault2014">
        <w:r>
          <w:rPr>
            <w:rStyle w:val="Hyperlink"/>
            <w:vertAlign w:val="superscript"/>
          </w:rPr>
          <w:t>17</w:t>
        </w:r>
      </w:hyperlink>
      <w:r>
        <w:rPr>
          <w:vertAlign w:val="superscript"/>
        </w:rPr>
        <w:t>–</w:t>
      </w:r>
      <w:hyperlink w:anchor="ref-mateo2008">
        <w:r>
          <w:rPr>
            <w:rStyle w:val="Hyperlink"/>
            <w:vertAlign w:val="superscript"/>
          </w:rPr>
          <w:t>20</w:t>
        </w:r>
      </w:hyperlink>
      <w:r>
        <w:rPr>
          <w:vertAlign w:val="superscript"/>
        </w:rPr>
        <w:t>,</w:t>
      </w:r>
      <w:hyperlink w:anchor="ref-mateo2008">
        <w:r>
          <w:rPr>
            <w:rStyle w:val="Hyperlink"/>
            <w:vertAlign w:val="superscript"/>
          </w:rPr>
          <w:t>20</w:t>
        </w:r>
      </w:hyperlink>
      <w:r>
        <w:t>. In this study, we do not attempt to resolve the optimal conditions (e.g., time, temperature, acid concentration, etc.) for all collage</w:t>
      </w:r>
      <w:r>
        <w:t>n extraction methods. Instead we focus on developing a framework for assessing the efficacy of a given mineral removal method, with set experimental conditions. We held acid concentration, temperature, and particle size in our experiments constant and vari</w:t>
      </w:r>
      <w:r>
        <w:t>ed the acid-reaction time from 5 minutes to 24 hours(Figure 1]. We used this framework to test the rate of mineral removal in three materials collected from modern animals; white tailed deer bone (</w:t>
      </w:r>
      <w:r>
        <w:rPr>
          <w:i/>
          <w:iCs/>
        </w:rPr>
        <w:t>Odocoileus virginianus</w:t>
      </w:r>
      <w:r>
        <w:t>), goat dentine (</w:t>
      </w:r>
      <w:r>
        <w:rPr>
          <w:i/>
          <w:iCs/>
        </w:rPr>
        <w:t>Capra hircus</w:t>
      </w:r>
      <w:r>
        <w:t>), and b</w:t>
      </w:r>
      <w:r>
        <w:t>lue shark dentine (</w:t>
      </w:r>
      <w:r>
        <w:rPr>
          <w:i/>
          <w:iCs/>
        </w:rPr>
        <w:t>Prionace glauca</w:t>
      </w:r>
      <w:r>
        <w:t>). We assessed our methods using three metrics 1) Collagen yield and C:N</w:t>
      </w:r>
      <w:r>
        <w:rPr>
          <w:vertAlign w:val="subscript"/>
        </w:rPr>
        <w:t>atomic</w:t>
      </w:r>
      <w:r>
        <w:t xml:space="preserve"> ratio to determine collagen quality 2) stability of stable isotope compositions, and 3) Fourier Transform Infrared Spectroscopy to directly qua</w:t>
      </w:r>
      <w:r>
        <w:t>ntify the ratio of organic to inorganic material. Our results show that for a given method, the timing of mineral removal can be quantified using standard techniques available at many major research universities, and our testing methods can be used as a fr</w:t>
      </w:r>
      <w:r>
        <w:t>amework to evaluate the plethora of collagen extraction techniques in use today.</w:t>
      </w:r>
    </w:p>
    <w:p w14:paraId="41470152" w14:textId="77777777" w:rsidR="00162DC8" w:rsidRDefault="001F3E15" w:rsidP="00E65910">
      <w:pPr>
        <w:pStyle w:val="CaptionedFigure"/>
        <w:spacing w:line="600" w:lineRule="auto"/>
      </w:pPr>
      <w:bookmarkStart w:id="5" w:name="fig:workflow"/>
      <w:r>
        <w:rPr>
          <w:noProof/>
        </w:rPr>
        <w:lastRenderedPageBreak/>
        <w:drawing>
          <wp:inline distT="0" distB="0" distL="0" distR="0" wp14:anchorId="47A55B93" wp14:editId="2DB6E2C1">
            <wp:extent cx="3810000" cy="2540000"/>
            <wp:effectExtent l="0" t="0" r="0" b="0"/>
            <wp:docPr id="25" name="Picture" descr="Figure 1: Diagram of methods."/>
            <wp:cNvGraphicFramePr/>
            <a:graphic xmlns:a="http://schemas.openxmlformats.org/drawingml/2006/main">
              <a:graphicData uri="http://schemas.openxmlformats.org/drawingml/2006/picture">
                <pic:pic xmlns:pic="http://schemas.openxmlformats.org/drawingml/2006/picture">
                  <pic:nvPicPr>
                    <pic:cNvPr id="26" name="Picture" descr="./figures/final_figures/workflow.pdf"/>
                    <pic:cNvPicPr>
                      <a:picLocks noChangeAspect="1" noChangeArrowheads="1"/>
                    </pic:cNvPicPr>
                  </pic:nvPicPr>
                  <pic:blipFill>
                    <a:blip r:embed="rId7"/>
                    <a:stretch>
                      <a:fillRect/>
                    </a:stretch>
                  </pic:blipFill>
                  <pic:spPr bwMode="auto">
                    <a:xfrm>
                      <a:off x="0" y="0"/>
                      <a:ext cx="3810000" cy="2540000"/>
                    </a:xfrm>
                    <a:prstGeom prst="rect">
                      <a:avLst/>
                    </a:prstGeom>
                    <a:noFill/>
                    <a:ln w="9525">
                      <a:noFill/>
                      <a:headEnd/>
                      <a:tailEnd/>
                    </a:ln>
                  </pic:spPr>
                </pic:pic>
              </a:graphicData>
            </a:graphic>
          </wp:inline>
        </w:drawing>
      </w:r>
      <w:bookmarkEnd w:id="5"/>
    </w:p>
    <w:p w14:paraId="5C0A7743" w14:textId="77777777" w:rsidR="00162DC8" w:rsidRDefault="001F3E15" w:rsidP="00E65910">
      <w:pPr>
        <w:pStyle w:val="ImageCaption"/>
        <w:spacing w:line="600" w:lineRule="auto"/>
      </w:pPr>
      <w:r>
        <w:t>Figure 1: Diagram of methods.</w:t>
      </w:r>
    </w:p>
    <w:p w14:paraId="188E2254" w14:textId="77777777" w:rsidR="00162DC8" w:rsidRDefault="001F3E15" w:rsidP="00E65910">
      <w:pPr>
        <w:pStyle w:val="Heading1"/>
        <w:spacing w:line="600" w:lineRule="auto"/>
      </w:pPr>
      <w:bookmarkStart w:id="6" w:name="sec:background"/>
      <w:bookmarkEnd w:id="4"/>
      <w:r>
        <w:rPr>
          <w:rStyle w:val="SectionNumber"/>
        </w:rPr>
        <w:t>2</w:t>
      </w:r>
      <w:r>
        <w:tab/>
        <w:t>Background</w:t>
      </w:r>
    </w:p>
    <w:p w14:paraId="1FC7B3F4" w14:textId="77777777" w:rsidR="00162DC8" w:rsidRDefault="001F3E15" w:rsidP="00E65910">
      <w:pPr>
        <w:pStyle w:val="Heading2"/>
        <w:spacing w:line="600" w:lineRule="auto"/>
      </w:pPr>
      <w:bookmarkStart w:id="7" w:name="sec:background_composition"/>
      <w:r>
        <w:rPr>
          <w:rStyle w:val="SectionNumber"/>
        </w:rPr>
        <w:t>2.1</w:t>
      </w:r>
      <w:r>
        <w:tab/>
        <w:t>Elemental Composition of Bone</w:t>
      </w:r>
    </w:p>
    <w:p w14:paraId="4B4F5D66" w14:textId="77777777" w:rsidR="00162DC8" w:rsidRDefault="001F3E15" w:rsidP="00E65910">
      <w:pPr>
        <w:pStyle w:val="FirstParagraph"/>
        <w:spacing w:line="600" w:lineRule="auto"/>
      </w:pPr>
      <w:r>
        <w:t xml:space="preserve">Bone and dentine are composite materials, with both mineral and organic components. Both phases </w:t>
      </w:r>
      <w:r>
        <w:t>are commonly analyzed for their stable isotope composition (d</w:t>
      </w:r>
      <w:r>
        <w:rPr>
          <w:vertAlign w:val="superscript"/>
        </w:rPr>
        <w:t>2</w:t>
      </w:r>
      <w:r>
        <w:t>H, δ</w:t>
      </w:r>
      <w:r>
        <w:rPr>
          <w:vertAlign w:val="superscript"/>
        </w:rPr>
        <w:t>13</w:t>
      </w:r>
      <w:r>
        <w:t>C, δ</w:t>
      </w:r>
      <w:r>
        <w:rPr>
          <w:vertAlign w:val="superscript"/>
        </w:rPr>
        <w:t>15</w:t>
      </w:r>
      <w:r>
        <w:t>N, δ</w:t>
      </w:r>
      <w:r>
        <w:rPr>
          <w:vertAlign w:val="superscript"/>
        </w:rPr>
        <w:t>18</w:t>
      </w:r>
      <w:r>
        <w:t>O) to infer diet, trophic position, and geographic provenance. Bioapatite appears to exchange hydrogen with or absorb ambient moisture on timescales of minutes, making it of li</w:t>
      </w:r>
      <w:r>
        <w:t>mited use for d</w:t>
      </w:r>
      <w:r>
        <w:rPr>
          <w:vertAlign w:val="superscript"/>
        </w:rPr>
        <w:t>2</w:t>
      </w:r>
      <w:r>
        <w:t>H analyses</w:t>
      </w:r>
      <w:hyperlink w:anchor="ref-drewicz2020">
        <w:r>
          <w:rPr>
            <w:rStyle w:val="Hyperlink"/>
            <w:vertAlign w:val="superscript"/>
          </w:rPr>
          <w:t>21</w:t>
        </w:r>
      </w:hyperlink>
      <w:r>
        <w:t>, while the d</w:t>
      </w:r>
      <w:r>
        <w:rPr>
          <w:vertAlign w:val="superscript"/>
        </w:rPr>
        <w:t>2</w:t>
      </w:r>
      <w:r>
        <w:t>H values of collagen are used to infer trophic dynamics and geographic provenance</w:t>
      </w:r>
      <w:hyperlink w:anchor="ref-reynard2008">
        <w:r>
          <w:rPr>
            <w:rStyle w:val="Hyperlink"/>
            <w:vertAlign w:val="superscript"/>
          </w:rPr>
          <w:t>22</w:t>
        </w:r>
      </w:hyperlink>
      <w:r>
        <w:t>. Both collagen and bioapatite are routinely analyzed for their oxygen isotope compositions (δ</w:t>
      </w:r>
      <w:r>
        <w:rPr>
          <w:vertAlign w:val="superscript"/>
        </w:rPr>
        <w:t>18</w:t>
      </w:r>
      <w:r>
        <w:t>O)</w:t>
      </w:r>
      <w:hyperlink w:anchor="ref-hedges2004">
        <w:r>
          <w:rPr>
            <w:rStyle w:val="Hyperlink"/>
            <w:vertAlign w:val="superscript"/>
          </w:rPr>
          <w:t>23</w:t>
        </w:r>
      </w:hyperlink>
      <w:r>
        <w:rPr>
          <w:vertAlign w:val="superscript"/>
        </w:rPr>
        <w:t>–</w:t>
      </w:r>
      <w:hyperlink w:anchor="ref-kohn2002">
        <w:r>
          <w:rPr>
            <w:rStyle w:val="Hyperlink"/>
            <w:vertAlign w:val="superscript"/>
          </w:rPr>
          <w:t>25</w:t>
        </w:r>
      </w:hyperlink>
      <w:r>
        <w:t>. Essentially all nitrogen in bone is contained in the organic phase, and some st</w:t>
      </w:r>
      <w:r>
        <w:t>udies have analyzed dentine for δ</w:t>
      </w:r>
      <w:r>
        <w:rPr>
          <w:vertAlign w:val="superscript"/>
        </w:rPr>
        <w:t>15</w:t>
      </w:r>
      <w:r>
        <w:t>N values without mineral removal</w:t>
      </w:r>
      <w:hyperlink w:anchor="ref-guiry2016">
        <w:r>
          <w:rPr>
            <w:rStyle w:val="Hyperlink"/>
            <w:vertAlign w:val="superscript"/>
          </w:rPr>
          <w:t>26</w:t>
        </w:r>
      </w:hyperlink>
      <w:r>
        <w:t xml:space="preserve">. Most </w:t>
      </w:r>
      <w:r>
        <w:lastRenderedPageBreak/>
        <w:t>pertinent to this study, both the mineral and the organic components contain carbon sources, which must be isolated prior to analysis. The miner</w:t>
      </w:r>
      <w:r>
        <w:t>al phase is primarily bioapatite [Ca</w:t>
      </w:r>
      <w:r>
        <w:rPr>
          <w:vertAlign w:val="subscript"/>
        </w:rPr>
        <w:t>5</w:t>
      </w:r>
      <w:r>
        <w:t>(PO</w:t>
      </w:r>
      <w:r>
        <w:rPr>
          <w:vertAlign w:val="subscript"/>
        </w:rPr>
        <w:t>4</w:t>
      </w:r>
      <w:r>
        <w:t>)</w:t>
      </w:r>
      <w:r>
        <w:rPr>
          <w:vertAlign w:val="subscript"/>
        </w:rPr>
        <w:t>3</w:t>
      </w:r>
      <w:r>
        <w:t>OH] with carbonate (CO</w:t>
      </w:r>
      <w:r>
        <w:rPr>
          <w:vertAlign w:val="subscript"/>
        </w:rPr>
        <w:t>3</w:t>
      </w:r>
      <w:r>
        <w:t>) substitutions in the hydroxyl (type-A CO</w:t>
      </w:r>
      <w:r>
        <w:rPr>
          <w:vertAlign w:val="subscript"/>
        </w:rPr>
        <w:t>3</w:t>
      </w:r>
      <w:r>
        <w:t>) and phosphate (type-B CO</w:t>
      </w:r>
      <w:r>
        <w:rPr>
          <w:vertAlign w:val="subscript"/>
        </w:rPr>
        <w:t>3</w:t>
      </w:r>
      <w:r>
        <w:t>) crystallographic sites</w:t>
      </w:r>
      <w:hyperlink w:anchor="ref-elliott1985">
        <w:r>
          <w:rPr>
            <w:rStyle w:val="Hyperlink"/>
            <w:vertAlign w:val="superscript"/>
          </w:rPr>
          <w:t>27</w:t>
        </w:r>
      </w:hyperlink>
      <w:r>
        <w:rPr>
          <w:vertAlign w:val="superscript"/>
        </w:rPr>
        <w:t>–</w:t>
      </w:r>
      <w:hyperlink w:anchor="ref-driessens1990">
        <w:r>
          <w:rPr>
            <w:rStyle w:val="Hyperlink"/>
            <w:vertAlign w:val="superscript"/>
          </w:rPr>
          <w:t>29</w:t>
        </w:r>
      </w:hyperlink>
      <w:r>
        <w:t xml:space="preserve">. Bioapatite </w:t>
      </w:r>
      <w:r>
        <w:t>carbonate contents vary considerably, with reported values ranging from 3 to 13%</w:t>
      </w:r>
      <w:hyperlink w:anchor="ref-driessens1990">
        <w:r>
          <w:rPr>
            <w:rStyle w:val="Hyperlink"/>
            <w:vertAlign w:val="superscript"/>
          </w:rPr>
          <w:t>29</w:t>
        </w:r>
      </w:hyperlink>
      <w:r>
        <w:t>. Since carbonate is empirically 20% carbon, assuming an average carbonate content of about 5%</w:t>
      </w:r>
      <w:hyperlink w:anchor="ref-sydney-zax1991">
        <w:r>
          <w:rPr>
            <w:rStyle w:val="Hyperlink"/>
            <w:vertAlign w:val="superscript"/>
          </w:rPr>
          <w:t>30</w:t>
        </w:r>
      </w:hyperlink>
      <w:r>
        <w:rPr>
          <w:vertAlign w:val="superscript"/>
        </w:rPr>
        <w:t>,</w:t>
      </w:r>
      <w:hyperlink w:anchor="ref-zazzo2005">
        <w:r>
          <w:rPr>
            <w:rStyle w:val="Hyperlink"/>
            <w:vertAlign w:val="superscript"/>
          </w:rPr>
          <w:t>31</w:t>
        </w:r>
      </w:hyperlink>
      <w:r>
        <w:t xml:space="preserve"> means that bone contains about 1% carbonate-bound carbon, by mass (20% </w:t>
      </w:r>
      <m:oMath>
        <m:r>
          <m:rPr>
            <m:sty m:val="p"/>
          </m:rPr>
          <w:rPr>
            <w:rFonts w:ascii="Cambria Math" w:hAnsi="Cambria Math"/>
          </w:rPr>
          <m:t>×</m:t>
        </m:r>
      </m:oMath>
      <w:r>
        <w:t xml:space="preserve"> 5%). Modern dry bone and dentine are 12 to 33% collagen by weight</w:t>
      </w:r>
      <w:hyperlink w:anchor="ref-ambrose1990">
        <w:r>
          <w:rPr>
            <w:rStyle w:val="Hyperlink"/>
            <w:vertAlign w:val="superscript"/>
          </w:rPr>
          <w:t>6</w:t>
        </w:r>
      </w:hyperlink>
      <w:r>
        <w:rPr>
          <w:vertAlign w:val="superscript"/>
        </w:rPr>
        <w:t>,</w:t>
      </w:r>
      <w:hyperlink w:anchor="ref-driessens1990">
        <w:r>
          <w:rPr>
            <w:rStyle w:val="Hyperlink"/>
            <w:vertAlign w:val="superscript"/>
          </w:rPr>
          <w:t>29</w:t>
        </w:r>
      </w:hyperlink>
      <w:r>
        <w:rPr>
          <w:vertAlign w:val="superscript"/>
        </w:rPr>
        <w:t>,</w:t>
      </w:r>
      <w:hyperlink w:anchor="ref-vanklinken1999">
        <w:r>
          <w:rPr>
            <w:rStyle w:val="Hyperlink"/>
            <w:vertAlign w:val="superscript"/>
          </w:rPr>
          <w:t>32</w:t>
        </w:r>
      </w:hyperlink>
      <w:r>
        <w:t>. Collagen carbon contents can vary significantly based on preservation, but well preserved samples are usually 35±8% carbon</w:t>
      </w:r>
      <w:hyperlink w:anchor="ref-vanklinken1999">
        <w:r>
          <w:rPr>
            <w:rStyle w:val="Hyperlink"/>
            <w:vertAlign w:val="superscript"/>
          </w:rPr>
          <w:t>32</w:t>
        </w:r>
      </w:hyperlink>
      <w:r>
        <w:t xml:space="preserve">. Therefore, an average bone is about </w:t>
      </w:r>
      <w:r>
        <w:t xml:space="preserve">9% (25% </w:t>
      </w:r>
      <m:oMath>
        <m:r>
          <m:rPr>
            <m:sty m:val="p"/>
          </m:rPr>
          <w:rPr>
            <w:rFonts w:ascii="Cambria Math" w:hAnsi="Cambria Math"/>
          </w:rPr>
          <m:t>×</m:t>
        </m:r>
      </m:oMath>
      <w:r>
        <w:t xml:space="preserve"> 35%) collagen-bound-carbon by weight.</w:t>
      </w:r>
    </w:p>
    <w:p w14:paraId="3EBEF004" w14:textId="77777777" w:rsidR="00162DC8" w:rsidRDefault="001F3E15" w:rsidP="00E65910">
      <w:pPr>
        <w:pStyle w:val="BodyText"/>
        <w:spacing w:line="600" w:lineRule="auto"/>
      </w:pPr>
      <w:r>
        <w:t>Since the carbon isotope diet-to-tissue enrichment factors (ε) differ for mineral and organic phases, bulk stable isotope analysis of bone without isolating either component will result in δ</w:t>
      </w:r>
      <w:r>
        <w:rPr>
          <w:vertAlign w:val="superscript"/>
        </w:rPr>
        <w:t>13</w:t>
      </w:r>
      <w:r>
        <w:t>C values that represent a mixture of the two components. For exa</w:t>
      </w:r>
      <w:r>
        <w:t>mple, bioapatite-carbonate in large mammalian herbivores is enriched relative to diet by 11-14‰ depending on body size and gut physiology</w:t>
      </w:r>
      <w:hyperlink w:anchor="ref-passey2005a">
        <w:r>
          <w:rPr>
            <w:rStyle w:val="Hyperlink"/>
            <w:vertAlign w:val="superscript"/>
          </w:rPr>
          <w:t>12</w:t>
        </w:r>
      </w:hyperlink>
      <w:r>
        <w:t>, while collagen is enriched by about 5‰</w:t>
      </w:r>
      <w:hyperlink w:anchor="ref-ambrose1993">
        <w:r>
          <w:rPr>
            <w:rStyle w:val="Hyperlink"/>
            <w:vertAlign w:val="superscript"/>
          </w:rPr>
          <w:t>1</w:t>
        </w:r>
        <w:r>
          <w:rPr>
            <w:rStyle w:val="Hyperlink"/>
            <w:vertAlign w:val="superscript"/>
          </w:rPr>
          <w:t>3</w:t>
        </w:r>
      </w:hyperlink>
      <w:r>
        <w:t xml:space="preserve">. Given the the average carbon contents of each phase (discussed above), bulk analysis of bone is expected to be enriched by 6‰ relative to diet </w:t>
      </w:r>
      <m:oMath>
        <m:d>
          <m:dPr>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diet</m:t>
                    </m:r>
                    <m:r>
                      <m:rPr>
                        <m:sty m:val="p"/>
                      </m:rPr>
                      <w:rPr>
                        <w:rFonts w:ascii="Cambria Math" w:hAnsi="Cambria Math"/>
                      </w:rPr>
                      <m:t>+</m:t>
                    </m:r>
                    <m:r>
                      <w:rPr>
                        <w:rFonts w:ascii="Cambria Math" w:hAnsi="Cambria Math"/>
                      </w:rPr>
                      <m:t>14</m:t>
                    </m:r>
                    <m:r>
                      <m:rPr>
                        <m:sty m:val="p"/>
                      </m:rPr>
                      <w:rPr>
                        <w:rFonts w:ascii="Cambria Math" w:hAnsi="Cambria Math"/>
                      </w:rPr>
                      <m:t>‰</m:t>
                    </m:r>
                  </m:e>
                </m:d>
                <m:r>
                  <m:rPr>
                    <m:sty m:val="p"/>
                  </m:rPr>
                  <w:rPr>
                    <w:rFonts w:ascii="Cambria Math" w:hAnsi="Cambria Math"/>
                  </w:rPr>
                  <m:t>×</m:t>
                </m:r>
                <m:r>
                  <w:rPr>
                    <w:rFonts w:ascii="Cambria Math" w:hAnsi="Cambria Math"/>
                  </w:rPr>
                  <m:t>0.01</m:t>
                </m:r>
                <m:r>
                  <m:rPr>
                    <m:sty m:val="p"/>
                  </m:rPr>
                  <w:rPr>
                    <w:rFonts w:ascii="Cambria Math" w:hAnsi="Cambria Math"/>
                  </w:rPr>
                  <m:t>+</m:t>
                </m:r>
                <m:d>
                  <m:dPr>
                    <m:ctrlPr>
                      <w:rPr>
                        <w:rFonts w:ascii="Cambria Math" w:hAnsi="Cambria Math"/>
                      </w:rPr>
                    </m:ctrlPr>
                  </m:dPr>
                  <m:e>
                    <m:r>
                      <w:rPr>
                        <w:rFonts w:ascii="Cambria Math" w:hAnsi="Cambria Math"/>
                      </w:rPr>
                      <m:t>diet</m:t>
                    </m:r>
                    <m:r>
                      <m:rPr>
                        <m:sty m:val="p"/>
                      </m:rPr>
                      <w:rPr>
                        <w:rFonts w:ascii="Cambria Math" w:hAnsi="Cambria Math"/>
                      </w:rPr>
                      <m:t>+</m:t>
                    </m:r>
                    <m:r>
                      <w:rPr>
                        <w:rFonts w:ascii="Cambria Math" w:hAnsi="Cambria Math"/>
                      </w:rPr>
                      <m:t>5</m:t>
                    </m:r>
                    <m:r>
                      <m:rPr>
                        <m:sty m:val="p"/>
                      </m:rPr>
                      <w:rPr>
                        <w:rFonts w:ascii="Cambria Math" w:hAnsi="Cambria Math"/>
                      </w:rPr>
                      <m:t>‰</m:t>
                    </m:r>
                  </m:e>
                </m:d>
                <m:r>
                  <m:rPr>
                    <m:sty m:val="p"/>
                  </m:rPr>
                  <w:rPr>
                    <w:rFonts w:ascii="Cambria Math" w:hAnsi="Cambria Math"/>
                  </w:rPr>
                  <m:t>×</m:t>
                </m:r>
                <m:r>
                  <w:rPr>
                    <w:rFonts w:ascii="Cambria Math" w:hAnsi="Cambria Math"/>
                  </w:rPr>
                  <m:t>0.09</m:t>
                </m:r>
              </m:num>
              <m:den>
                <m:r>
                  <w:rPr>
                    <w:rFonts w:ascii="Cambria Math" w:hAnsi="Cambria Math"/>
                  </w:rPr>
                  <m:t>0.01</m:t>
                </m:r>
                <m:r>
                  <m:rPr>
                    <m:sty m:val="p"/>
                  </m:rPr>
                  <w:rPr>
                    <w:rFonts w:ascii="Cambria Math" w:hAnsi="Cambria Math"/>
                  </w:rPr>
                  <m:t>+</m:t>
                </m:r>
                <m:r>
                  <w:rPr>
                    <w:rFonts w:ascii="Cambria Math" w:hAnsi="Cambria Math"/>
                  </w:rPr>
                  <m:t>0.09</m:t>
                </m:r>
              </m:den>
            </m:f>
            <m:r>
              <m:rPr>
                <m:sty m:val="p"/>
              </m:rPr>
              <w:rPr>
                <w:rFonts w:ascii="Cambria Math" w:hAnsi="Cambria Math"/>
              </w:rPr>
              <m:t>≈</m:t>
            </m:r>
            <m:r>
              <w:rPr>
                <w:rFonts w:ascii="Cambria Math" w:hAnsi="Cambria Math"/>
              </w:rPr>
              <m:t>diet</m:t>
            </m:r>
            <m:r>
              <m:rPr>
                <m:sty m:val="p"/>
              </m:rPr>
              <w:rPr>
                <w:rFonts w:ascii="Cambria Math" w:hAnsi="Cambria Math"/>
              </w:rPr>
              <m:t>+</m:t>
            </m:r>
            <m:r>
              <w:rPr>
                <w:rFonts w:ascii="Cambria Math" w:hAnsi="Cambria Math"/>
              </w:rPr>
              <m:t>6</m:t>
            </m:r>
            <m:r>
              <m:rPr>
                <m:sty m:val="p"/>
              </m:rPr>
              <w:rPr>
                <w:rFonts w:ascii="Cambria Math" w:hAnsi="Cambria Math"/>
              </w:rPr>
              <m:t>‰</m:t>
            </m:r>
          </m:e>
        </m:d>
      </m:oMath>
      <w:r>
        <w:t>. Alternatively, bulk bone analyses δ</w:t>
      </w:r>
      <w:r>
        <w:rPr>
          <w:vertAlign w:val="superscript"/>
        </w:rPr>
        <w:t>13</w:t>
      </w:r>
      <w:r>
        <w:t>C values are exp</w:t>
      </w:r>
      <w:r>
        <w:t>ected to be enriched but 1‰ relative to purified collagen.</w:t>
      </w:r>
    </w:p>
    <w:p w14:paraId="3E0A9AC0" w14:textId="77777777" w:rsidR="00162DC8" w:rsidRDefault="001F3E15" w:rsidP="00E65910">
      <w:pPr>
        <w:pStyle w:val="Heading2"/>
        <w:spacing w:line="600" w:lineRule="auto"/>
      </w:pPr>
      <w:bookmarkStart w:id="8" w:name="sec:background_extraction"/>
      <w:bookmarkEnd w:id="7"/>
      <w:r>
        <w:rPr>
          <w:rStyle w:val="SectionNumber"/>
        </w:rPr>
        <w:lastRenderedPageBreak/>
        <w:t>2.2</w:t>
      </w:r>
      <w:r>
        <w:tab/>
        <w:t>Collagen Extraction</w:t>
      </w:r>
    </w:p>
    <w:p w14:paraId="37DF94A9" w14:textId="77777777" w:rsidR="00162DC8" w:rsidRDefault="001F3E15" w:rsidP="00E65910">
      <w:pPr>
        <w:pStyle w:val="FirstParagraph"/>
        <w:spacing w:line="600" w:lineRule="auto"/>
      </w:pPr>
      <w:r>
        <w:t>Isolating bone collagen prior to stable isotope analysis is accomplished via reaction with either HCl or Ethylenediaminetetraacetic acid</w:t>
      </w:r>
      <w:hyperlink w:anchor="ref-ambrose1990">
        <w:r>
          <w:rPr>
            <w:rStyle w:val="Hyperlink"/>
            <w:vertAlign w:val="superscript"/>
          </w:rPr>
          <w:t>6</w:t>
        </w:r>
      </w:hyperlink>
      <w:r>
        <w:rPr>
          <w:vertAlign w:val="superscript"/>
        </w:rPr>
        <w:t>,</w:t>
      </w:r>
      <w:hyperlink w:anchor="ref-tuross1988">
        <w:r>
          <w:rPr>
            <w:rStyle w:val="Hyperlink"/>
            <w:vertAlign w:val="superscript"/>
          </w:rPr>
          <w:t>10</w:t>
        </w:r>
      </w:hyperlink>
      <w:r>
        <w:rPr>
          <w:vertAlign w:val="superscript"/>
        </w:rPr>
        <w:t>,</w:t>
      </w:r>
      <w:hyperlink w:anchor="ref-longin1971">
        <w:r>
          <w:rPr>
            <w:rStyle w:val="Hyperlink"/>
            <w:vertAlign w:val="superscript"/>
          </w:rPr>
          <w:t>14</w:t>
        </w:r>
      </w:hyperlink>
      <w:r>
        <w:t>. EDTA demineralization is usually recommended for archaeological or paleontological specimens where collagen may be poorly preserved. HCl is a potent protein hydrolyzing age</w:t>
      </w:r>
      <w:r>
        <w:t>nt</w:t>
      </w:r>
      <w:hyperlink w:anchor="ref-rosenberg2013">
        <w:r>
          <w:rPr>
            <w:rStyle w:val="Hyperlink"/>
            <w:vertAlign w:val="superscript"/>
          </w:rPr>
          <w:t>33</w:t>
        </w:r>
      </w:hyperlink>
      <w:r>
        <w:t xml:space="preserve"> and it can induce amino-acid loss in poorly preserved specimens which may alter stable isotope compositions</w:t>
      </w:r>
      <w:hyperlink w:anchor="ref-pestle2010">
        <w:r>
          <w:rPr>
            <w:rStyle w:val="Hyperlink"/>
            <w:vertAlign w:val="superscript"/>
          </w:rPr>
          <w:t>15</w:t>
        </w:r>
      </w:hyperlink>
      <w:r>
        <w:t>. However, EDTA demineralization is often slow and can take weeks</w:t>
      </w:r>
      <w:r>
        <w:t xml:space="preserve"> to months to fully remove bone mineral, and in well preserved specimens, HCl may be preferred due to its rapid reaction speed.</w:t>
      </w:r>
    </w:p>
    <w:p w14:paraId="1756FA3A" w14:textId="77777777" w:rsidR="00162DC8" w:rsidRDefault="001F3E15" w:rsidP="00E65910">
      <w:pPr>
        <w:pStyle w:val="BodyText"/>
        <w:spacing w:line="600" w:lineRule="auto"/>
      </w:pPr>
      <w:r>
        <w:t>HCl protonates the carbonate and phosphate groups of bioapatite, to form carbonic and phosphoric acid</w:t>
      </w:r>
      <w:hyperlink w:anchor="ref-hankermeyer2002">
        <w:r>
          <w:rPr>
            <w:rStyle w:val="Hyperlink"/>
            <w:vertAlign w:val="superscript"/>
          </w:rPr>
          <w:t>34</w:t>
        </w:r>
      </w:hyperlink>
      <w:r>
        <w:t xml:space="preserve"> which can then be decanted, leaving behind the residual collagen. This is sometimes followed by rising with sodium hydroxide (NaOH) to remove lipid and humid contaminants</w:t>
      </w:r>
      <w:hyperlink w:anchor="ref-ambrose1990">
        <w:r>
          <w:rPr>
            <w:rStyle w:val="Hyperlink"/>
            <w:vertAlign w:val="superscript"/>
          </w:rPr>
          <w:t>6</w:t>
        </w:r>
      </w:hyperlink>
      <w:r>
        <w:rPr>
          <w:vertAlign w:val="superscript"/>
        </w:rPr>
        <w:t>,</w:t>
      </w:r>
      <w:hyperlink w:anchor="ref-longin1971">
        <w:r>
          <w:rPr>
            <w:rStyle w:val="Hyperlink"/>
            <w:vertAlign w:val="superscript"/>
          </w:rPr>
          <w:t>14</w:t>
        </w:r>
      </w:hyperlink>
      <w:r>
        <w:rPr>
          <w:vertAlign w:val="superscript"/>
        </w:rPr>
        <w:t>,</w:t>
      </w:r>
      <w:hyperlink w:anchor="ref-pestle2010">
        <w:r>
          <w:rPr>
            <w:rStyle w:val="Hyperlink"/>
            <w:vertAlign w:val="superscript"/>
          </w:rPr>
          <w:t>15</w:t>
        </w:r>
      </w:hyperlink>
      <w:r>
        <w:rPr>
          <w:vertAlign w:val="superscript"/>
        </w:rPr>
        <w:t>,</w:t>
      </w:r>
      <w:hyperlink w:anchor="ref-brown1988">
        <w:r>
          <w:rPr>
            <w:rStyle w:val="Hyperlink"/>
            <w:vertAlign w:val="superscript"/>
          </w:rPr>
          <w:t>35</w:t>
        </w:r>
      </w:hyperlink>
      <w:r>
        <w:t>. The rate of mineral dissolution is strongly dependent on the acid concentration, temperature, reaction time, and particle size</w:t>
      </w:r>
      <w:hyperlink w:anchor="ref-hankermeyer2002">
        <w:r>
          <w:rPr>
            <w:rStyle w:val="Hyperlink"/>
            <w:vertAlign w:val="superscript"/>
          </w:rPr>
          <w:t>34</w:t>
        </w:r>
      </w:hyperlink>
      <w:r>
        <w:t>, and changes to one of these variables will should lead to more or less mineral rem</w:t>
      </w:r>
      <w:r>
        <w:t>oval. However there is considerable variation in published methods for collagen extraction. While some studies suggest rapid removal of mineral using higher acid concentrations</w:t>
      </w:r>
      <w:hyperlink w:anchor="ref-pestle2010">
        <w:r>
          <w:rPr>
            <w:rStyle w:val="Hyperlink"/>
            <w:vertAlign w:val="superscript"/>
          </w:rPr>
          <w:t>15</w:t>
        </w:r>
      </w:hyperlink>
      <w:r>
        <w:t>, others use lower HCl concentrations, in</w:t>
      </w:r>
      <w:r>
        <w:t xml:space="preserve"> particular when archaeological or fossil specimens are thought to be poorly preserved</w:t>
      </w:r>
      <w:hyperlink w:anchor="ref-tuross1988">
        <w:r>
          <w:rPr>
            <w:rStyle w:val="Hyperlink"/>
            <w:vertAlign w:val="superscript"/>
          </w:rPr>
          <w:t>10</w:t>
        </w:r>
      </w:hyperlink>
      <w:r>
        <w:rPr>
          <w:vertAlign w:val="superscript"/>
        </w:rPr>
        <w:t>,</w:t>
      </w:r>
      <w:hyperlink w:anchor="ref-sealy2014">
        <w:r>
          <w:rPr>
            <w:rStyle w:val="Hyperlink"/>
            <w:vertAlign w:val="superscript"/>
          </w:rPr>
          <w:t>16</w:t>
        </w:r>
      </w:hyperlink>
      <w:r>
        <w:rPr>
          <w:vertAlign w:val="superscript"/>
        </w:rPr>
        <w:t>,</w:t>
      </w:r>
      <w:hyperlink w:anchor="ref-beaumont2013">
        <w:r>
          <w:rPr>
            <w:rStyle w:val="Hyperlink"/>
            <w:vertAlign w:val="superscript"/>
          </w:rPr>
          <w:t>36</w:t>
        </w:r>
      </w:hyperlink>
      <w:r>
        <w:t>. Particle size also varies considerably across me</w:t>
      </w:r>
      <w:r>
        <w:t>thods, and furthermore, can strongly influence the rate of demineralization</w:t>
      </w:r>
      <w:hyperlink w:anchor="ref-hankermeyer2002">
        <w:r>
          <w:rPr>
            <w:rStyle w:val="Hyperlink"/>
            <w:vertAlign w:val="superscript"/>
          </w:rPr>
          <w:t>34</w:t>
        </w:r>
      </w:hyperlink>
      <w:r>
        <w:t xml:space="preserve">. While some authors suggest using bone “chunks”, others use </w:t>
      </w:r>
      <w:r>
        <w:lastRenderedPageBreak/>
        <w:t>methods suggest first grinding samples into small pieces or fine powders see</w:t>
      </w:r>
      <w:r>
        <w:t xml:space="preserve"> review of:</w:t>
      </w:r>
      <w:hyperlink w:anchor="ref-sealy2014">
        <w:r>
          <w:rPr>
            <w:rStyle w:val="Hyperlink"/>
            <w:vertAlign w:val="superscript"/>
          </w:rPr>
          <w:t>16</w:t>
        </w:r>
      </w:hyperlink>
      <w:r>
        <w:t>. While collagen extraction methods vary significantly across published studies, inter-laboratory comparisons show that different methods produce comparable stable isotope compositions (δ</w:t>
      </w:r>
      <w:r>
        <w:rPr>
          <w:vertAlign w:val="superscript"/>
        </w:rPr>
        <w:t>13</w:t>
      </w:r>
      <w:r>
        <w:t>C, δ</w:t>
      </w:r>
      <w:r>
        <w:rPr>
          <w:vertAlign w:val="superscript"/>
        </w:rPr>
        <w:t>15</w:t>
      </w:r>
      <w:r>
        <w:t>N)</w:t>
      </w:r>
      <w:hyperlink w:anchor="ref-pestle2014">
        <w:r>
          <w:rPr>
            <w:rStyle w:val="Hyperlink"/>
            <w:vertAlign w:val="superscript"/>
          </w:rPr>
          <w:t>37</w:t>
        </w:r>
      </w:hyperlink>
      <w:r>
        <w:t xml:space="preserve"> and therefore, method development should focus on producing collagen of satisfactory quality.</w:t>
      </w:r>
    </w:p>
    <w:p w14:paraId="7ECA4CF2" w14:textId="77777777" w:rsidR="00162DC8" w:rsidRDefault="001F3E15" w:rsidP="00E65910">
      <w:pPr>
        <w:pStyle w:val="BodyText"/>
        <w:spacing w:line="600" w:lineRule="auto"/>
      </w:pPr>
      <w:r>
        <w:t>The primary criteria used to assess collagen quality in modern and ancient specimens are collagen yield, collagen carbon and nitroge</w:t>
      </w:r>
      <w:r>
        <w:t>n content, and the atomic ratio of carbon to nitrogen content (C:N</w:t>
      </w:r>
      <w:r>
        <w:rPr>
          <w:vertAlign w:val="subscript"/>
        </w:rPr>
        <w:t>atomic</w:t>
      </w:r>
      <w:r>
        <w:t>). These criteria are based on the conservative amino acid composition of collagen which varies little across a wide variety of taxa</w:t>
      </w:r>
      <w:hyperlink w:anchor="ref-szpak2011">
        <w:r>
          <w:rPr>
            <w:rStyle w:val="Hyperlink"/>
            <w:vertAlign w:val="superscript"/>
          </w:rPr>
          <w:t>8</w:t>
        </w:r>
      </w:hyperlink>
      <w:r>
        <w:t xml:space="preserve">. Low collagen </w:t>
      </w:r>
      <w:r>
        <w:t>yield may indicate poor preservation and altered isotopic compositions. Collagen content in fresh bone should be about 34.8±8.8%, although these contents may be lower in dentine or degraded bone. Lower collagen yields may indicate alteration due to degrada</w:t>
      </w:r>
      <w:r>
        <w:t>tion and preferential loss of amino acids</w:t>
      </w:r>
      <w:hyperlink w:anchor="ref-vanklinken1999">
        <w:r>
          <w:rPr>
            <w:rStyle w:val="Hyperlink"/>
            <w:vertAlign w:val="superscript"/>
          </w:rPr>
          <w:t>32</w:t>
        </w:r>
      </w:hyperlink>
      <w:r>
        <w:t>.</w:t>
      </w:r>
      <w:hyperlink w:anchor="ref-ambrose1990">
        <w:r>
          <w:rPr>
            <w:rStyle w:val="Hyperlink"/>
            <w:vertAlign w:val="superscript"/>
          </w:rPr>
          <w:t>6</w:t>
        </w:r>
      </w:hyperlink>
      <w:r>
        <w:t xml:space="preserve"> initially suggested that samples that yield less that 3.5% were suspect, though later work has lowered this threshold to 1% yield</w:t>
      </w:r>
      <w:hyperlink w:anchor="ref-vanklinken1999">
        <w:r>
          <w:rPr>
            <w:rStyle w:val="Hyperlink"/>
            <w:vertAlign w:val="superscript"/>
          </w:rPr>
          <w:t>32</w:t>
        </w:r>
      </w:hyperlink>
      <w:r>
        <w:t>. Similarly, total collagen carbon and nitrogen contents can indicate alteration, with proposed minimum contents of 13% and 4.5% for carbon and nitrogen respectively</w:t>
      </w:r>
      <w:hyperlink w:anchor="ref-guiry2020">
        <w:r>
          <w:rPr>
            <w:rStyle w:val="Hyperlink"/>
            <w:vertAlign w:val="superscript"/>
          </w:rPr>
          <w:t>38</w:t>
        </w:r>
      </w:hyperlink>
      <w:r>
        <w:t>.</w:t>
      </w:r>
    </w:p>
    <w:p w14:paraId="31F6E3DD" w14:textId="77777777" w:rsidR="00162DC8" w:rsidRDefault="001F3E15" w:rsidP="00E65910">
      <w:pPr>
        <w:pStyle w:val="BodyText"/>
        <w:spacing w:line="600" w:lineRule="auto"/>
      </w:pPr>
      <w:r>
        <w:t>The primar</w:t>
      </w:r>
      <w:r>
        <w:t>y sources of contamination in modern and fossil collagen are endogenous lipids, humic acids, and non-collagenous proteins</w:t>
      </w:r>
      <w:hyperlink w:anchor="ref-guiry2021">
        <w:r>
          <w:rPr>
            <w:rStyle w:val="Hyperlink"/>
            <w:vertAlign w:val="superscript"/>
          </w:rPr>
          <w:t>39</w:t>
        </w:r>
      </w:hyperlink>
      <w:r>
        <w:t>. Both humic acids and lipids are carbon rich but nitrogen poor and lead to higher C:N</w:t>
      </w:r>
      <w:r>
        <w:rPr>
          <w:vertAlign w:val="subscript"/>
        </w:rPr>
        <w:t>atomic</w:t>
      </w:r>
      <w:r>
        <w:t xml:space="preserve"> valu</w:t>
      </w:r>
      <w:r>
        <w:t xml:space="preserve">es. Furthermore, since lipids are relative </w:t>
      </w:r>
      <w:r>
        <w:rPr>
          <w:vertAlign w:val="superscript"/>
        </w:rPr>
        <w:t>13</w:t>
      </w:r>
      <w:r>
        <w:t xml:space="preserve">C </w:t>
      </w:r>
      <w:r>
        <w:lastRenderedPageBreak/>
        <w:t>depleted, they can significantly change δ</w:t>
      </w:r>
      <w:r>
        <w:rPr>
          <w:vertAlign w:val="superscript"/>
        </w:rPr>
        <w:t>13</w:t>
      </w:r>
      <w:r>
        <w:t>C values if not properly removed</w:t>
      </w:r>
      <w:hyperlink w:anchor="ref-liden1995">
        <w:r>
          <w:rPr>
            <w:rStyle w:val="Hyperlink"/>
            <w:vertAlign w:val="superscript"/>
          </w:rPr>
          <w:t>40</w:t>
        </w:r>
      </w:hyperlink>
      <w:r>
        <w:t>. This is especially true for fish and marine mammals which can have very high bone lipid contents.</w:t>
      </w:r>
      <w:hyperlink w:anchor="ref-deniro1985">
        <w:r>
          <w:rPr>
            <w:rStyle w:val="Hyperlink"/>
            <w:vertAlign w:val="superscript"/>
          </w:rPr>
          <w:t>41</w:t>
        </w:r>
      </w:hyperlink>
      <w:r>
        <w:t xml:space="preserve"> proposed a C:N</w:t>
      </w:r>
      <w:r>
        <w:rPr>
          <w:vertAlign w:val="subscript"/>
        </w:rPr>
        <w:t>atomic</w:t>
      </w:r>
      <w:r>
        <w:t xml:space="preserve"> range of 2.9–3.6 as indicative of well preserved collagen, although this range has been suggeste</w:t>
      </w:r>
      <w:r>
        <w:t>d to be somewhat too liberal, where samples with carbon-bearing lipid or humid compounds may still have C:N</w:t>
      </w:r>
      <w:r>
        <w:rPr>
          <w:vertAlign w:val="subscript"/>
        </w:rPr>
        <w:t>atomic</w:t>
      </w:r>
      <w:r>
        <w:t xml:space="preserve"> values that fall within the “acceptable” range. Other authors have suggested either narrower C:N</w:t>
      </w:r>
      <w:r>
        <w:rPr>
          <w:vertAlign w:val="subscript"/>
        </w:rPr>
        <w:t>atomic</w:t>
      </w:r>
      <w:r>
        <w:t xml:space="preserve"> or taxon specific (e.g., fish, mammals)</w:t>
      </w:r>
      <w:r>
        <w:t xml:space="preserve"> ranges.</w:t>
      </w:r>
      <w:hyperlink w:anchor="ref-vanklinken1999">
        <w:r>
          <w:rPr>
            <w:rStyle w:val="Hyperlink"/>
            <w:vertAlign w:val="superscript"/>
          </w:rPr>
          <w:t>32</w:t>
        </w:r>
      </w:hyperlink>
      <w:r>
        <w:t xml:space="preserve"> suggests a range of 3.1–3.5 based on long term data collection in the Oxford radiocarbon facility. Guiry and Szpak</w:t>
      </w:r>
      <w:hyperlink w:anchor="ref-guiry2021">
        <w:r>
          <w:rPr>
            <w:rStyle w:val="Hyperlink"/>
            <w:vertAlign w:val="superscript"/>
          </w:rPr>
          <w:t>39</w:t>
        </w:r>
      </w:hyperlink>
      <w:r>
        <w:t xml:space="preserve"> suggested adjusting the upper limit of the DeNiro</w:t>
      </w:r>
      <w:hyperlink w:anchor="ref-deniro1985">
        <w:r>
          <w:rPr>
            <w:rStyle w:val="Hyperlink"/>
            <w:vertAlign w:val="superscript"/>
          </w:rPr>
          <w:t>41</w:t>
        </w:r>
      </w:hyperlink>
      <w:r>
        <w:t xml:space="preserve"> range (2.9–3.6) for fossil collagen from various taxa, depending on preservation characteristics, likelihood of contamination, and research tolerance for altered isotopic compositions. The same authors also suggested a</w:t>
      </w:r>
      <w:r>
        <w:t xml:space="preserve"> C:N</w:t>
      </w:r>
      <w:r>
        <w:rPr>
          <w:vertAlign w:val="subscript"/>
        </w:rPr>
        <w:t>atomic</w:t>
      </w:r>
      <w:r>
        <w:t xml:space="preserve"> range of 3.00–3.30 for modern fish, mammals, and birds</w:t>
      </w:r>
      <w:hyperlink w:anchor="ref-guiry2020">
        <w:r>
          <w:rPr>
            <w:rStyle w:val="Hyperlink"/>
            <w:vertAlign w:val="superscript"/>
          </w:rPr>
          <w:t>38</w:t>
        </w:r>
      </w:hyperlink>
      <w:r>
        <w:t>.</w:t>
      </w:r>
    </w:p>
    <w:p w14:paraId="67906A2D" w14:textId="77777777" w:rsidR="00162DC8" w:rsidRDefault="001F3E15" w:rsidP="00E65910">
      <w:pPr>
        <w:pStyle w:val="Heading2"/>
        <w:spacing w:line="600" w:lineRule="auto"/>
      </w:pPr>
      <w:bookmarkStart w:id="9" w:name="sec:background_ftir"/>
      <w:bookmarkEnd w:id="8"/>
      <w:r>
        <w:rPr>
          <w:rStyle w:val="SectionNumber"/>
        </w:rPr>
        <w:t>2.3</w:t>
      </w:r>
      <w:r>
        <w:tab/>
        <w:t>Fast Fourier Infrared Spectroscopy</w:t>
      </w:r>
    </w:p>
    <w:p w14:paraId="2A4638D6" w14:textId="77777777" w:rsidR="00162DC8" w:rsidRDefault="001F3E15" w:rsidP="00E65910">
      <w:pPr>
        <w:pStyle w:val="FirstParagraph"/>
        <w:spacing w:line="600" w:lineRule="auto"/>
      </w:pPr>
      <w:r>
        <w:t>Fast Fourier Infrared Spectroscopy (FTIR) irradiates a sample with a beam of infrared light. Infrared photons excite molecules into a higher energy state, and as a result, some wavelengths are absorbed while others are transmitted through the material. Sin</w:t>
      </w:r>
      <w:r>
        <w:t>ce the molecular structure of a material determines which wavelengths are absorbed or transmitted, FTIR can be use to semi-quantitatively, determine the chemical composition of a material ad assign different absorbance bands to specific chemical functional</w:t>
      </w:r>
      <w:r>
        <w:t xml:space="preserve"> groups</w:t>
      </w:r>
      <w:hyperlink w:anchor="ref-stuart2004">
        <w:r>
          <w:rPr>
            <w:rStyle w:val="Hyperlink"/>
            <w:vertAlign w:val="superscript"/>
          </w:rPr>
          <w:t>42</w:t>
        </w:r>
      </w:hyperlink>
      <w:r>
        <w:t>.</w:t>
      </w:r>
    </w:p>
    <w:p w14:paraId="62FF2037" w14:textId="77777777" w:rsidR="00162DC8" w:rsidRDefault="001F3E15" w:rsidP="00E65910">
      <w:pPr>
        <w:pStyle w:val="TableCaption"/>
        <w:spacing w:line="600" w:lineRule="auto"/>
      </w:pPr>
      <w:bookmarkStart w:id="10" w:name="tbl:bands"/>
      <w:r>
        <w:lastRenderedPageBreak/>
        <w:t>Table 1: Nominal FTIR band positions of several relevant chemical groups. Actually band positions may be shifted by several cm</w:t>
      </w:r>
      <w:r>
        <w:rPr>
          <w:vertAlign w:val="superscript"/>
        </w:rPr>
        <w:t>-1</w:t>
      </w:r>
      <w:r>
        <w:t>.</w:t>
      </w:r>
    </w:p>
    <w:tbl>
      <w:tblPr>
        <w:tblStyle w:val="Table"/>
        <w:tblW w:w="5000" w:type="pct"/>
        <w:tblLook w:val="0020" w:firstRow="1" w:lastRow="0" w:firstColumn="0" w:lastColumn="0" w:noHBand="0" w:noVBand="0"/>
        <w:tblCaption w:val="Table 1: Nominal FTIR band positions of several relevant chemical groups. Actually band positions may be shifted by several cm-1."/>
      </w:tblPr>
      <w:tblGrid>
        <w:gridCol w:w="3426"/>
        <w:gridCol w:w="4188"/>
        <w:gridCol w:w="1962"/>
      </w:tblGrid>
      <w:tr w:rsidR="00162DC8" w14:paraId="2381380D" w14:textId="77777777">
        <w:trPr>
          <w:tblHeader/>
        </w:trPr>
        <w:tc>
          <w:tcPr>
            <w:tcW w:w="0" w:type="auto"/>
          </w:tcPr>
          <w:p w14:paraId="7083B9D7" w14:textId="77777777" w:rsidR="00162DC8" w:rsidRDefault="001F3E15" w:rsidP="00E65910">
            <w:pPr>
              <w:pStyle w:val="Compact"/>
              <w:spacing w:line="600" w:lineRule="auto"/>
              <w:jc w:val="center"/>
            </w:pPr>
            <w:r>
              <w:t>band position (cm</w:t>
            </w:r>
            <w:r>
              <w:rPr>
                <w:vertAlign w:val="superscript"/>
              </w:rPr>
              <w:t>-1</w:t>
            </w:r>
            <w:r>
              <w:t>)</w:t>
            </w:r>
          </w:p>
        </w:tc>
        <w:tc>
          <w:tcPr>
            <w:tcW w:w="0" w:type="auto"/>
          </w:tcPr>
          <w:p w14:paraId="087D6179" w14:textId="77777777" w:rsidR="00162DC8" w:rsidRDefault="001F3E15" w:rsidP="00E65910">
            <w:pPr>
              <w:pStyle w:val="Compact"/>
              <w:spacing w:line="600" w:lineRule="auto"/>
              <w:jc w:val="center"/>
            </w:pPr>
            <w:r>
              <w:t>Chemical Group</w:t>
            </w:r>
          </w:p>
        </w:tc>
        <w:tc>
          <w:tcPr>
            <w:tcW w:w="0" w:type="auto"/>
          </w:tcPr>
          <w:p w14:paraId="4D1115E1" w14:textId="77777777" w:rsidR="00162DC8" w:rsidRDefault="001F3E15" w:rsidP="00E65910">
            <w:pPr>
              <w:pStyle w:val="Compact"/>
              <w:spacing w:line="600" w:lineRule="auto"/>
              <w:jc w:val="center"/>
            </w:pPr>
            <w:r>
              <w:t>Reference</w:t>
            </w:r>
          </w:p>
        </w:tc>
      </w:tr>
      <w:tr w:rsidR="00162DC8" w14:paraId="78858F76" w14:textId="77777777">
        <w:tc>
          <w:tcPr>
            <w:tcW w:w="0" w:type="auto"/>
          </w:tcPr>
          <w:p w14:paraId="2F4FFFFF" w14:textId="77777777" w:rsidR="00162DC8" w:rsidRDefault="001F3E15" w:rsidP="00E65910">
            <w:pPr>
              <w:pStyle w:val="Compact"/>
              <w:spacing w:line="600" w:lineRule="auto"/>
              <w:jc w:val="center"/>
            </w:pPr>
            <w:r>
              <w:t>1630</w:t>
            </w:r>
          </w:p>
        </w:tc>
        <w:tc>
          <w:tcPr>
            <w:tcW w:w="0" w:type="auto"/>
          </w:tcPr>
          <w:p w14:paraId="2B1CB919" w14:textId="77777777" w:rsidR="00162DC8" w:rsidRDefault="001F3E15" w:rsidP="00E65910">
            <w:pPr>
              <w:pStyle w:val="Compact"/>
              <w:spacing w:line="600" w:lineRule="auto"/>
              <w:jc w:val="center"/>
            </w:pPr>
            <w:r>
              <w:t>Amide I (CO–NH)</w:t>
            </w:r>
          </w:p>
        </w:tc>
        <w:tc>
          <w:tcPr>
            <w:tcW w:w="0" w:type="auto"/>
          </w:tcPr>
          <w:p w14:paraId="07F5B74C" w14:textId="77777777" w:rsidR="00162DC8" w:rsidRDefault="001F3E15" w:rsidP="00E65910">
            <w:pPr>
              <w:pStyle w:val="Compact"/>
              <w:spacing w:line="600" w:lineRule="auto"/>
              <w:jc w:val="center"/>
            </w:pPr>
            <w:hyperlink w:anchor="ref-botta2012">
              <w:r>
                <w:rPr>
                  <w:rStyle w:val="Hyperlink"/>
                  <w:vertAlign w:val="superscript"/>
                </w:rPr>
                <w:t>43</w:t>
              </w:r>
            </w:hyperlink>
          </w:p>
        </w:tc>
      </w:tr>
      <w:tr w:rsidR="00162DC8" w14:paraId="273064C9" w14:textId="77777777">
        <w:tc>
          <w:tcPr>
            <w:tcW w:w="0" w:type="auto"/>
          </w:tcPr>
          <w:p w14:paraId="36DD8C31" w14:textId="77777777" w:rsidR="00162DC8" w:rsidRDefault="001F3E15" w:rsidP="00E65910">
            <w:pPr>
              <w:pStyle w:val="Compact"/>
              <w:spacing w:line="600" w:lineRule="auto"/>
              <w:jc w:val="center"/>
            </w:pPr>
            <w:r>
              <w:t>1551</w:t>
            </w:r>
          </w:p>
        </w:tc>
        <w:tc>
          <w:tcPr>
            <w:tcW w:w="0" w:type="auto"/>
          </w:tcPr>
          <w:p w14:paraId="6C58040C" w14:textId="77777777" w:rsidR="00162DC8" w:rsidRDefault="001F3E15" w:rsidP="00E65910">
            <w:pPr>
              <w:pStyle w:val="Compact"/>
              <w:spacing w:line="600" w:lineRule="auto"/>
              <w:jc w:val="center"/>
            </w:pPr>
            <w:r>
              <w:t>Amide II (CO–NH)</w:t>
            </w:r>
          </w:p>
        </w:tc>
        <w:tc>
          <w:tcPr>
            <w:tcW w:w="0" w:type="auto"/>
          </w:tcPr>
          <w:p w14:paraId="07A02ECF" w14:textId="77777777" w:rsidR="00162DC8" w:rsidRDefault="001F3E15" w:rsidP="00E65910">
            <w:pPr>
              <w:pStyle w:val="Compact"/>
              <w:spacing w:line="600" w:lineRule="auto"/>
              <w:jc w:val="center"/>
            </w:pPr>
            <w:hyperlink w:anchor="ref-botta2012">
              <w:r>
                <w:rPr>
                  <w:rStyle w:val="Hyperlink"/>
                  <w:vertAlign w:val="superscript"/>
                </w:rPr>
                <w:t>43</w:t>
              </w:r>
            </w:hyperlink>
          </w:p>
        </w:tc>
      </w:tr>
      <w:tr w:rsidR="00162DC8" w14:paraId="1497383B" w14:textId="77777777">
        <w:tc>
          <w:tcPr>
            <w:tcW w:w="0" w:type="auto"/>
          </w:tcPr>
          <w:p w14:paraId="06974598" w14:textId="77777777" w:rsidR="00162DC8" w:rsidRDefault="001F3E15" w:rsidP="00E65910">
            <w:pPr>
              <w:pStyle w:val="Compact"/>
              <w:spacing w:line="600" w:lineRule="auto"/>
              <w:jc w:val="center"/>
            </w:pPr>
            <w:r>
              <w:t>1545</w:t>
            </w:r>
          </w:p>
        </w:tc>
        <w:tc>
          <w:tcPr>
            <w:tcW w:w="0" w:type="auto"/>
          </w:tcPr>
          <w:p w14:paraId="74559223" w14:textId="77777777" w:rsidR="00162DC8" w:rsidRDefault="001F3E15" w:rsidP="00E65910">
            <w:pPr>
              <w:pStyle w:val="Compact"/>
              <w:spacing w:line="600" w:lineRule="auto"/>
              <w:jc w:val="center"/>
            </w:pPr>
            <w:r>
              <w:t>A-Type Carbonate (CO</w:t>
            </w:r>
            <w:r>
              <w:rPr>
                <w:vertAlign w:val="subscript"/>
              </w:rPr>
              <w:t>3</w:t>
            </w:r>
            <w:r>
              <w:t>)</w:t>
            </w:r>
          </w:p>
        </w:tc>
        <w:tc>
          <w:tcPr>
            <w:tcW w:w="0" w:type="auto"/>
          </w:tcPr>
          <w:p w14:paraId="11D43238" w14:textId="77777777" w:rsidR="00162DC8" w:rsidRDefault="001F3E15" w:rsidP="00E65910">
            <w:pPr>
              <w:pStyle w:val="Compact"/>
              <w:spacing w:line="600" w:lineRule="auto"/>
              <w:jc w:val="center"/>
            </w:pPr>
            <w:hyperlink w:anchor="ref-legeros1991">
              <w:r>
                <w:rPr>
                  <w:rStyle w:val="Hyperlink"/>
                  <w:vertAlign w:val="superscript"/>
                </w:rPr>
                <w:t>44</w:t>
              </w:r>
            </w:hyperlink>
            <w:r>
              <w:t>;</w:t>
            </w:r>
            <w:hyperlink w:anchor="ref-rey1991">
              <w:r>
                <w:rPr>
                  <w:rStyle w:val="Hyperlink"/>
                  <w:vertAlign w:val="superscript"/>
                </w:rPr>
                <w:t>45</w:t>
              </w:r>
            </w:hyperlink>
          </w:p>
        </w:tc>
      </w:tr>
      <w:tr w:rsidR="00162DC8" w14:paraId="4E20D9E9" w14:textId="77777777">
        <w:tc>
          <w:tcPr>
            <w:tcW w:w="0" w:type="auto"/>
          </w:tcPr>
          <w:p w14:paraId="0854F785" w14:textId="77777777" w:rsidR="00162DC8" w:rsidRDefault="001F3E15" w:rsidP="00E65910">
            <w:pPr>
              <w:pStyle w:val="Compact"/>
              <w:spacing w:line="600" w:lineRule="auto"/>
              <w:jc w:val="center"/>
            </w:pPr>
            <w:r>
              <w:t>1415</w:t>
            </w:r>
          </w:p>
        </w:tc>
        <w:tc>
          <w:tcPr>
            <w:tcW w:w="0" w:type="auto"/>
          </w:tcPr>
          <w:p w14:paraId="3EA852C1" w14:textId="77777777" w:rsidR="00162DC8" w:rsidRDefault="001F3E15" w:rsidP="00E65910">
            <w:pPr>
              <w:pStyle w:val="Compact"/>
              <w:spacing w:line="600" w:lineRule="auto"/>
              <w:jc w:val="center"/>
            </w:pPr>
            <w:r>
              <w:t>B-Type Carbonate (CO</w:t>
            </w:r>
            <w:r>
              <w:rPr>
                <w:vertAlign w:val="subscript"/>
              </w:rPr>
              <w:t>3</w:t>
            </w:r>
            <w:r>
              <w:t>)</w:t>
            </w:r>
          </w:p>
        </w:tc>
        <w:tc>
          <w:tcPr>
            <w:tcW w:w="0" w:type="auto"/>
          </w:tcPr>
          <w:p w14:paraId="5A7B7ABF" w14:textId="77777777" w:rsidR="00162DC8" w:rsidRDefault="001F3E15" w:rsidP="00E65910">
            <w:pPr>
              <w:pStyle w:val="Compact"/>
              <w:spacing w:line="600" w:lineRule="auto"/>
              <w:jc w:val="center"/>
            </w:pPr>
            <w:hyperlink w:anchor="ref-legeros1991">
              <w:r>
                <w:rPr>
                  <w:rStyle w:val="Hyperlink"/>
                  <w:vertAlign w:val="superscript"/>
                </w:rPr>
                <w:t>44</w:t>
              </w:r>
            </w:hyperlink>
            <w:r>
              <w:t>;</w:t>
            </w:r>
            <w:hyperlink w:anchor="ref-rey1991">
              <w:r>
                <w:rPr>
                  <w:rStyle w:val="Hyperlink"/>
                  <w:vertAlign w:val="superscript"/>
                </w:rPr>
                <w:t>45</w:t>
              </w:r>
            </w:hyperlink>
          </w:p>
        </w:tc>
      </w:tr>
      <w:tr w:rsidR="00162DC8" w14:paraId="22437360" w14:textId="77777777">
        <w:tc>
          <w:tcPr>
            <w:tcW w:w="0" w:type="auto"/>
          </w:tcPr>
          <w:p w14:paraId="5D54A865" w14:textId="77777777" w:rsidR="00162DC8" w:rsidRDefault="001F3E15" w:rsidP="00E65910">
            <w:pPr>
              <w:pStyle w:val="Compact"/>
              <w:spacing w:line="600" w:lineRule="auto"/>
              <w:jc w:val="center"/>
            </w:pPr>
            <w:r>
              <w:t>1231</w:t>
            </w:r>
          </w:p>
        </w:tc>
        <w:tc>
          <w:tcPr>
            <w:tcW w:w="0" w:type="auto"/>
          </w:tcPr>
          <w:p w14:paraId="13CD01FC" w14:textId="77777777" w:rsidR="00162DC8" w:rsidRDefault="001F3E15" w:rsidP="00E65910">
            <w:pPr>
              <w:pStyle w:val="Compact"/>
              <w:spacing w:line="600" w:lineRule="auto"/>
              <w:jc w:val="center"/>
            </w:pPr>
            <w:r>
              <w:t>Amide III (CO–NH)</w:t>
            </w:r>
          </w:p>
        </w:tc>
        <w:tc>
          <w:tcPr>
            <w:tcW w:w="0" w:type="auto"/>
          </w:tcPr>
          <w:p w14:paraId="3AD1EB7A" w14:textId="77777777" w:rsidR="00162DC8" w:rsidRDefault="001F3E15" w:rsidP="00E65910">
            <w:pPr>
              <w:pStyle w:val="Compact"/>
              <w:spacing w:line="600" w:lineRule="auto"/>
              <w:jc w:val="center"/>
            </w:pPr>
            <w:hyperlink w:anchor="ref-botta2012">
              <w:r>
                <w:rPr>
                  <w:rStyle w:val="Hyperlink"/>
                  <w:vertAlign w:val="superscript"/>
                </w:rPr>
                <w:t>43</w:t>
              </w:r>
            </w:hyperlink>
          </w:p>
        </w:tc>
      </w:tr>
      <w:tr w:rsidR="00162DC8" w14:paraId="106D7447" w14:textId="77777777">
        <w:tc>
          <w:tcPr>
            <w:tcW w:w="0" w:type="auto"/>
          </w:tcPr>
          <w:p w14:paraId="10ADEB5E" w14:textId="77777777" w:rsidR="00162DC8" w:rsidRDefault="001F3E15" w:rsidP="00E65910">
            <w:pPr>
              <w:pStyle w:val="Compact"/>
              <w:spacing w:line="600" w:lineRule="auto"/>
              <w:jc w:val="center"/>
            </w:pPr>
            <w:r>
              <w:t>1020</w:t>
            </w:r>
          </w:p>
        </w:tc>
        <w:tc>
          <w:tcPr>
            <w:tcW w:w="0" w:type="auto"/>
          </w:tcPr>
          <w:p w14:paraId="7B2B1F2E" w14:textId="77777777" w:rsidR="00162DC8" w:rsidRDefault="001F3E15" w:rsidP="00E65910">
            <w:pPr>
              <w:pStyle w:val="Compact"/>
              <w:spacing w:line="600" w:lineRule="auto"/>
              <w:jc w:val="center"/>
            </w:pPr>
            <w:r>
              <w:t>Phosphate (ν</w:t>
            </w:r>
            <w:r>
              <w:rPr>
                <w:vertAlign w:val="subscript"/>
              </w:rPr>
              <w:t>3</w:t>
            </w:r>
            <w:r>
              <w:t>PO</w:t>
            </w:r>
            <w:r>
              <w:rPr>
                <w:vertAlign w:val="subscript"/>
              </w:rPr>
              <w:t>4</w:t>
            </w:r>
            <w:r>
              <w:t>)</w:t>
            </w:r>
          </w:p>
        </w:tc>
        <w:tc>
          <w:tcPr>
            <w:tcW w:w="0" w:type="auto"/>
          </w:tcPr>
          <w:p w14:paraId="40582418" w14:textId="77777777" w:rsidR="00162DC8" w:rsidRDefault="00162DC8" w:rsidP="00E65910">
            <w:pPr>
              <w:pStyle w:val="Compact"/>
              <w:spacing w:line="600" w:lineRule="auto"/>
            </w:pPr>
          </w:p>
        </w:tc>
      </w:tr>
      <w:tr w:rsidR="00162DC8" w14:paraId="4AF56C69" w14:textId="77777777">
        <w:tc>
          <w:tcPr>
            <w:tcW w:w="0" w:type="auto"/>
          </w:tcPr>
          <w:p w14:paraId="52128D2D" w14:textId="77777777" w:rsidR="00162DC8" w:rsidRDefault="001F3E15" w:rsidP="00E65910">
            <w:pPr>
              <w:pStyle w:val="Compact"/>
              <w:spacing w:line="600" w:lineRule="auto"/>
              <w:jc w:val="center"/>
            </w:pPr>
            <w:r>
              <w:t>880</w:t>
            </w:r>
          </w:p>
        </w:tc>
        <w:tc>
          <w:tcPr>
            <w:tcW w:w="0" w:type="auto"/>
          </w:tcPr>
          <w:p w14:paraId="2CBED8D5" w14:textId="77777777" w:rsidR="00162DC8" w:rsidRDefault="001F3E15" w:rsidP="00E65910">
            <w:pPr>
              <w:pStyle w:val="Compact"/>
              <w:spacing w:line="600" w:lineRule="auto"/>
              <w:jc w:val="center"/>
            </w:pPr>
            <w:r>
              <w:t>Carbonate (CO</w:t>
            </w:r>
            <w:r>
              <w:rPr>
                <w:vertAlign w:val="subscript"/>
              </w:rPr>
              <w:t>3</w:t>
            </w:r>
            <w:r>
              <w:t>)</w:t>
            </w:r>
          </w:p>
        </w:tc>
        <w:tc>
          <w:tcPr>
            <w:tcW w:w="0" w:type="auto"/>
          </w:tcPr>
          <w:p w14:paraId="309122EB" w14:textId="77777777" w:rsidR="00162DC8" w:rsidRDefault="00162DC8" w:rsidP="00E65910">
            <w:pPr>
              <w:pStyle w:val="Compact"/>
              <w:spacing w:line="600" w:lineRule="auto"/>
            </w:pPr>
          </w:p>
        </w:tc>
      </w:tr>
      <w:tr w:rsidR="00162DC8" w14:paraId="0CA105B1" w14:textId="77777777">
        <w:tc>
          <w:tcPr>
            <w:tcW w:w="0" w:type="auto"/>
          </w:tcPr>
          <w:p w14:paraId="444CC638" w14:textId="77777777" w:rsidR="00162DC8" w:rsidRDefault="001F3E15" w:rsidP="00E65910">
            <w:pPr>
              <w:pStyle w:val="Compact"/>
              <w:spacing w:line="600" w:lineRule="auto"/>
              <w:jc w:val="center"/>
            </w:pPr>
            <w:r>
              <w:t>545</w:t>
            </w:r>
          </w:p>
        </w:tc>
        <w:tc>
          <w:tcPr>
            <w:tcW w:w="0" w:type="auto"/>
          </w:tcPr>
          <w:p w14:paraId="505D3686" w14:textId="77777777" w:rsidR="00162DC8" w:rsidRDefault="001F3E15" w:rsidP="00E65910">
            <w:pPr>
              <w:pStyle w:val="Compact"/>
              <w:spacing w:line="600" w:lineRule="auto"/>
              <w:jc w:val="center"/>
            </w:pPr>
            <w:r>
              <w:t>Phosphate (ν</w:t>
            </w:r>
            <w:r>
              <w:rPr>
                <w:vertAlign w:val="subscript"/>
              </w:rPr>
              <w:t>2</w:t>
            </w:r>
            <w:r>
              <w:t>PO</w:t>
            </w:r>
            <w:r>
              <w:rPr>
                <w:vertAlign w:val="subscript"/>
              </w:rPr>
              <w:t>4</w:t>
            </w:r>
            <w:r>
              <w:t>)</w:t>
            </w:r>
          </w:p>
        </w:tc>
        <w:tc>
          <w:tcPr>
            <w:tcW w:w="0" w:type="auto"/>
          </w:tcPr>
          <w:p w14:paraId="230186E7" w14:textId="77777777" w:rsidR="00162DC8" w:rsidRDefault="00162DC8" w:rsidP="00E65910">
            <w:pPr>
              <w:pStyle w:val="Compact"/>
              <w:spacing w:line="600" w:lineRule="auto"/>
            </w:pPr>
          </w:p>
        </w:tc>
      </w:tr>
    </w:tbl>
    <w:bookmarkEnd w:id="10"/>
    <w:p w14:paraId="18640C81" w14:textId="77777777" w:rsidR="00162DC8" w:rsidRDefault="001F3E15" w:rsidP="00E65910">
      <w:pPr>
        <w:pStyle w:val="BodyText"/>
        <w:spacing w:line="600" w:lineRule="auto"/>
      </w:pPr>
      <w:r>
        <w:t>There has been considerable work using FTIR t</w:t>
      </w:r>
      <w:r>
        <w:t>o investigate crystallographic and chemical changes to bioapatite and collagen during diagenesis and fossilization</w:t>
      </w:r>
      <w:hyperlink w:anchor="ref-grunenwald2014">
        <w:r>
          <w:rPr>
            <w:rStyle w:val="Hyperlink"/>
            <w:vertAlign w:val="superscript"/>
          </w:rPr>
          <w:t>46</w:t>
        </w:r>
      </w:hyperlink>
      <w:r>
        <w:rPr>
          <w:vertAlign w:val="superscript"/>
        </w:rPr>
        <w:t>–</w:t>
      </w:r>
      <w:hyperlink w:anchor="ref-sonjuclasen1997">
        <w:r>
          <w:rPr>
            <w:rStyle w:val="Hyperlink"/>
            <w:vertAlign w:val="superscript"/>
          </w:rPr>
          <w:t>50</w:t>
        </w:r>
      </w:hyperlink>
      <w:r>
        <w:t>. As a result, the absorbance band position oof the ma</w:t>
      </w:r>
      <w:r>
        <w:t>jor chemical functional groups of both materials is well understood (Table 1). In particular, it is possible to distinguish the functional groups associated with the organic and inorganic components of bone. Carbonate (CO</w:t>
      </w:r>
      <w:r>
        <w:rPr>
          <w:vertAlign w:val="subscript"/>
        </w:rPr>
        <w:t>3</w:t>
      </w:r>
      <w:r>
        <w:t>), phosphate (PO</w:t>
      </w:r>
      <w:r>
        <w:rPr>
          <w:vertAlign w:val="subscript"/>
        </w:rPr>
        <w:t>4</w:t>
      </w:r>
      <w:r>
        <w:t>), and organic am</w:t>
      </w:r>
      <w:r>
        <w:t xml:space="preserve">ide groups produce distinct absorbance bands and the relative size of these bands is </w:t>
      </w:r>
      <w:r>
        <w:lastRenderedPageBreak/>
        <w:t>proportional to concentration</w:t>
      </w:r>
      <w:hyperlink w:anchor="ref-grunenwald2014">
        <w:r>
          <w:rPr>
            <w:rStyle w:val="Hyperlink"/>
            <w:vertAlign w:val="superscript"/>
          </w:rPr>
          <w:t>46</w:t>
        </w:r>
      </w:hyperlink>
      <w:r>
        <w:rPr>
          <w:vertAlign w:val="superscript"/>
        </w:rPr>
        <w:t>,</w:t>
      </w:r>
      <w:hyperlink w:anchor="ref-lebon2016">
        <w:r>
          <w:rPr>
            <w:rStyle w:val="Hyperlink"/>
            <w:vertAlign w:val="superscript"/>
          </w:rPr>
          <w:t>51</w:t>
        </w:r>
      </w:hyperlink>
      <w:r>
        <w:t>, meaning that FTIR can be used to track changes in mineral/</w:t>
      </w:r>
      <w:r>
        <w:t xml:space="preserve"> collagen abundance and alteration (see review of:</w:t>
      </w:r>
      <w:hyperlink w:anchor="ref-olcottmarshall2015">
        <w:r>
          <w:rPr>
            <w:rStyle w:val="Hyperlink"/>
            <w:vertAlign w:val="superscript"/>
          </w:rPr>
          <w:t>52</w:t>
        </w:r>
      </w:hyperlink>
      <w:r>
        <w:t>).</w:t>
      </w:r>
    </w:p>
    <w:p w14:paraId="514062FD" w14:textId="77777777" w:rsidR="00162DC8" w:rsidRDefault="001F3E15" w:rsidP="00E65910">
      <w:pPr>
        <w:pStyle w:val="TableCaption"/>
        <w:spacing w:line="600" w:lineRule="auto"/>
      </w:pPr>
      <w:bookmarkStart w:id="11" w:name="tbl:indices"/>
      <w:r>
        <w:t xml:space="preserve">Table 2: Commonly used FTIR indices. </w:t>
      </w:r>
      <w:r>
        <w:rPr>
          <w:iCs/>
        </w:rPr>
        <w:t>B</w:t>
      </w:r>
      <w:r>
        <w:t xml:space="preserve"> indicates the absorbance band height at the specified wavenumber, while </w:t>
      </w:r>
      <w:r>
        <w:rPr>
          <w:iCs/>
        </w:rPr>
        <w:t>V</w:t>
      </w:r>
      <w:r>
        <w:t xml:space="preserve"> indicates the depth of the “valley”. Since </w:t>
      </w:r>
      <w:r>
        <w:t>the maximum height of a particular absorbance band may not occur at exactly the reported wavenumber, we instead calculated the indices above using the local maxima or minima within ±15 cm</w:t>
      </w:r>
      <w:r>
        <w:rPr>
          <w:vertAlign w:val="superscript"/>
        </w:rPr>
        <w:t>-1</w:t>
      </w:r>
      <w:r>
        <w:t xml:space="preserve">. </w:t>
      </w:r>
      <w:r>
        <w:rPr>
          <w:vertAlign w:val="superscript"/>
        </w:rPr>
        <w:t>*</w:t>
      </w:r>
      <w:r>
        <w:t>Index used in this study.</w:t>
      </w:r>
    </w:p>
    <w:tbl>
      <w:tblPr>
        <w:tblStyle w:val="Table"/>
        <w:tblW w:w="5000" w:type="pct"/>
        <w:tblLook w:val="0020" w:firstRow="1" w:lastRow="0" w:firstColumn="0" w:lastColumn="0" w:noHBand="0" w:noVBand="0"/>
        <w:tblCaption w:val="Table 2: Commonly used FTIR indices. B indicates the absorbance band height at the specified wavenumber, while V indicates the depth of the “valley”. Since the maximum height of a particular absorbance band may not occur at exactly the reported wavenumber, we instead calculated the indices above using the local maxima or minima within ±15 cm-1. *Index used in this study."/>
      </w:tblPr>
      <w:tblGrid>
        <w:gridCol w:w="2725"/>
        <w:gridCol w:w="3546"/>
        <w:gridCol w:w="3305"/>
      </w:tblGrid>
      <w:tr w:rsidR="00162DC8" w14:paraId="4556163C" w14:textId="77777777">
        <w:trPr>
          <w:tblHeader/>
        </w:trPr>
        <w:tc>
          <w:tcPr>
            <w:tcW w:w="0" w:type="auto"/>
          </w:tcPr>
          <w:p w14:paraId="2E22719B" w14:textId="77777777" w:rsidR="00162DC8" w:rsidRDefault="001F3E15" w:rsidP="00E65910">
            <w:pPr>
              <w:pStyle w:val="Compact"/>
              <w:spacing w:line="600" w:lineRule="auto"/>
              <w:jc w:val="center"/>
            </w:pPr>
            <w:r>
              <w:t>Index</w:t>
            </w:r>
          </w:p>
        </w:tc>
        <w:tc>
          <w:tcPr>
            <w:tcW w:w="0" w:type="auto"/>
          </w:tcPr>
          <w:p w14:paraId="7A6D1E26" w14:textId="77777777" w:rsidR="00162DC8" w:rsidRDefault="001F3E15" w:rsidP="00E65910">
            <w:pPr>
              <w:pStyle w:val="Compact"/>
              <w:spacing w:line="600" w:lineRule="auto"/>
              <w:jc w:val="center"/>
            </w:pPr>
            <w:r>
              <w:t>Formula</w:t>
            </w:r>
          </w:p>
        </w:tc>
        <w:tc>
          <w:tcPr>
            <w:tcW w:w="0" w:type="auto"/>
          </w:tcPr>
          <w:p w14:paraId="472A85A6" w14:textId="77777777" w:rsidR="00162DC8" w:rsidRDefault="001F3E15" w:rsidP="00E65910">
            <w:pPr>
              <w:pStyle w:val="Compact"/>
              <w:spacing w:line="600" w:lineRule="auto"/>
              <w:jc w:val="center"/>
            </w:pPr>
            <w:r>
              <w:t>Reference</w:t>
            </w:r>
          </w:p>
        </w:tc>
      </w:tr>
      <w:tr w:rsidR="00162DC8" w14:paraId="1E2BCD85" w14:textId="77777777">
        <w:tc>
          <w:tcPr>
            <w:tcW w:w="0" w:type="auto"/>
          </w:tcPr>
          <w:p w14:paraId="129FC8FA" w14:textId="77777777" w:rsidR="00162DC8" w:rsidRDefault="001F3E15" w:rsidP="00E65910">
            <w:pPr>
              <w:pStyle w:val="Compact"/>
              <w:spacing w:line="600" w:lineRule="auto"/>
              <w:jc w:val="center"/>
            </w:pPr>
            <w:r>
              <w:t>PCI</w:t>
            </w:r>
          </w:p>
        </w:tc>
        <w:tc>
          <w:tcPr>
            <w:tcW w:w="0" w:type="auto"/>
          </w:tcPr>
          <w:p w14:paraId="16EDD5BF" w14:textId="77777777" w:rsidR="00162DC8" w:rsidRDefault="001F3E15" w:rsidP="00E65910">
            <w:pPr>
              <w:pStyle w:val="Compact"/>
              <w:spacing w:line="600" w:lineRule="auto"/>
              <w:jc w:val="center"/>
            </w:pPr>
            <m:oMathPara>
              <m:oMath>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605</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565</m:t>
                        </m:r>
                      </m:sub>
                    </m:sSub>
                  </m:num>
                  <m:den>
                    <m:sSub>
                      <m:sSubPr>
                        <m:ctrlPr>
                          <w:rPr>
                            <w:rFonts w:ascii="Cambria Math" w:hAnsi="Cambria Math"/>
                          </w:rPr>
                        </m:ctrlPr>
                      </m:sSubPr>
                      <m:e>
                        <m:r>
                          <w:rPr>
                            <w:rFonts w:ascii="Cambria Math" w:hAnsi="Cambria Math"/>
                          </w:rPr>
                          <m:t>V</m:t>
                        </m:r>
                      </m:e>
                      <m:sub>
                        <m:r>
                          <w:rPr>
                            <w:rFonts w:ascii="Cambria Math" w:hAnsi="Cambria Math"/>
                          </w:rPr>
                          <m:t>590</m:t>
                        </m:r>
                      </m:sub>
                    </m:sSub>
                  </m:den>
                </m:f>
              </m:oMath>
            </m:oMathPara>
          </w:p>
        </w:tc>
        <w:tc>
          <w:tcPr>
            <w:tcW w:w="0" w:type="auto"/>
          </w:tcPr>
          <w:p w14:paraId="3D2DB955" w14:textId="77777777" w:rsidR="00162DC8" w:rsidRDefault="001F3E15" w:rsidP="00E65910">
            <w:pPr>
              <w:pStyle w:val="Compact"/>
              <w:spacing w:line="600" w:lineRule="auto"/>
              <w:jc w:val="center"/>
            </w:pPr>
            <w:hyperlink w:anchor="ref-sponheimer1999">
              <w:r>
                <w:rPr>
                  <w:rStyle w:val="Hyperlink"/>
                  <w:vertAlign w:val="superscript"/>
                </w:rPr>
                <w:t>48</w:t>
              </w:r>
            </w:hyperlink>
          </w:p>
        </w:tc>
      </w:tr>
      <w:tr w:rsidR="00162DC8" w14:paraId="1320D8C7" w14:textId="77777777">
        <w:tc>
          <w:tcPr>
            <w:tcW w:w="0" w:type="auto"/>
          </w:tcPr>
          <w:p w14:paraId="1178206A" w14:textId="77777777" w:rsidR="00162DC8" w:rsidRDefault="001F3E15" w:rsidP="00E65910">
            <w:pPr>
              <w:pStyle w:val="Compact"/>
              <w:spacing w:line="600" w:lineRule="auto"/>
              <w:jc w:val="center"/>
            </w:pPr>
            <w:r>
              <w:t>BPI</w:t>
            </w:r>
          </w:p>
        </w:tc>
        <w:tc>
          <w:tcPr>
            <w:tcW w:w="0" w:type="auto"/>
          </w:tcPr>
          <w:p w14:paraId="488045B8" w14:textId="77777777" w:rsidR="00162DC8" w:rsidRDefault="001F3E15" w:rsidP="00E65910">
            <w:pPr>
              <w:pStyle w:val="Compact"/>
              <w:spacing w:line="600" w:lineRule="auto"/>
              <w:jc w:val="center"/>
            </w:pPr>
            <m:oMathPara>
              <m:oMath>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1415</m:t>
                        </m:r>
                      </m:sub>
                    </m:sSub>
                  </m:num>
                  <m:den>
                    <m:sSub>
                      <m:sSubPr>
                        <m:ctrlPr>
                          <w:rPr>
                            <w:rFonts w:ascii="Cambria Math" w:hAnsi="Cambria Math"/>
                          </w:rPr>
                        </m:ctrlPr>
                      </m:sSubPr>
                      <m:e>
                        <m:r>
                          <w:rPr>
                            <w:rFonts w:ascii="Cambria Math" w:hAnsi="Cambria Math"/>
                          </w:rPr>
                          <m:t>B</m:t>
                        </m:r>
                      </m:e>
                      <m:sub>
                        <m:r>
                          <w:rPr>
                            <w:rFonts w:ascii="Cambria Math" w:hAnsi="Cambria Math"/>
                          </w:rPr>
                          <m:t>605</m:t>
                        </m:r>
                      </m:sub>
                    </m:sSub>
                  </m:den>
                </m:f>
              </m:oMath>
            </m:oMathPara>
          </w:p>
        </w:tc>
        <w:tc>
          <w:tcPr>
            <w:tcW w:w="0" w:type="auto"/>
          </w:tcPr>
          <w:p w14:paraId="7BFF7B0F" w14:textId="77777777" w:rsidR="00162DC8" w:rsidRDefault="001F3E15" w:rsidP="00E65910">
            <w:pPr>
              <w:pStyle w:val="Compact"/>
              <w:spacing w:line="600" w:lineRule="auto"/>
              <w:jc w:val="center"/>
            </w:pPr>
            <w:hyperlink w:anchor="ref-legeros1991">
              <w:r>
                <w:rPr>
                  <w:rStyle w:val="Hyperlink"/>
                  <w:vertAlign w:val="superscript"/>
                </w:rPr>
                <w:t>44</w:t>
              </w:r>
            </w:hyperlink>
          </w:p>
        </w:tc>
      </w:tr>
      <w:tr w:rsidR="00162DC8" w14:paraId="4278BE3C" w14:textId="77777777">
        <w:tc>
          <w:tcPr>
            <w:tcW w:w="0" w:type="auto"/>
          </w:tcPr>
          <w:p w14:paraId="6E28F42D" w14:textId="77777777" w:rsidR="00162DC8" w:rsidRDefault="001F3E15" w:rsidP="00E65910">
            <w:pPr>
              <w:pStyle w:val="Compact"/>
              <w:spacing w:line="600" w:lineRule="auto"/>
              <w:jc w:val="center"/>
            </w:pPr>
            <w:r>
              <w:t>API</w:t>
            </w:r>
          </w:p>
        </w:tc>
        <w:tc>
          <w:tcPr>
            <w:tcW w:w="0" w:type="auto"/>
          </w:tcPr>
          <w:p w14:paraId="342C50CB" w14:textId="77777777" w:rsidR="00162DC8" w:rsidRDefault="001F3E15" w:rsidP="00E65910">
            <w:pPr>
              <w:pStyle w:val="Compact"/>
              <w:spacing w:line="600" w:lineRule="auto"/>
              <w:jc w:val="center"/>
            </w:pPr>
            <m:oMathPara>
              <m:oMath>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1545</m:t>
                        </m:r>
                      </m:sub>
                    </m:sSub>
                  </m:num>
                  <m:den>
                    <m:sSub>
                      <m:sSubPr>
                        <m:ctrlPr>
                          <w:rPr>
                            <w:rFonts w:ascii="Cambria Math" w:hAnsi="Cambria Math"/>
                          </w:rPr>
                        </m:ctrlPr>
                      </m:sSubPr>
                      <m:e>
                        <m:r>
                          <w:rPr>
                            <w:rFonts w:ascii="Cambria Math" w:hAnsi="Cambria Math"/>
                          </w:rPr>
                          <m:t>B</m:t>
                        </m:r>
                      </m:e>
                      <m:sub>
                        <m:r>
                          <w:rPr>
                            <w:rFonts w:ascii="Cambria Math" w:hAnsi="Cambria Math"/>
                          </w:rPr>
                          <m:t>605</m:t>
                        </m:r>
                      </m:sub>
                    </m:sSub>
                  </m:den>
                </m:f>
              </m:oMath>
            </m:oMathPara>
          </w:p>
        </w:tc>
        <w:tc>
          <w:tcPr>
            <w:tcW w:w="0" w:type="auto"/>
          </w:tcPr>
          <w:p w14:paraId="23244BB2" w14:textId="77777777" w:rsidR="00162DC8" w:rsidRDefault="001F3E15" w:rsidP="00E65910">
            <w:pPr>
              <w:pStyle w:val="Compact"/>
              <w:spacing w:line="600" w:lineRule="auto"/>
              <w:jc w:val="center"/>
            </w:pPr>
            <w:hyperlink w:anchor="ref-sponheimer1999">
              <w:r>
                <w:rPr>
                  <w:rStyle w:val="Hyperlink"/>
                  <w:vertAlign w:val="superscript"/>
                </w:rPr>
                <w:t>48</w:t>
              </w:r>
            </w:hyperlink>
          </w:p>
        </w:tc>
      </w:tr>
      <w:tr w:rsidR="00162DC8" w14:paraId="0212D93A" w14:textId="77777777">
        <w:tc>
          <w:tcPr>
            <w:tcW w:w="0" w:type="auto"/>
          </w:tcPr>
          <w:p w14:paraId="2D26E415" w14:textId="77777777" w:rsidR="00162DC8" w:rsidRDefault="001F3E15" w:rsidP="00E65910">
            <w:pPr>
              <w:pStyle w:val="Compact"/>
              <w:spacing w:line="600" w:lineRule="auto"/>
              <w:jc w:val="center"/>
            </w:pPr>
            <w:r>
              <w:t>WAMPI</w:t>
            </w:r>
            <w:r>
              <w:rPr>
                <w:vertAlign w:val="superscript"/>
              </w:rPr>
              <w:t>*</w:t>
            </w:r>
          </w:p>
        </w:tc>
        <w:tc>
          <w:tcPr>
            <w:tcW w:w="0" w:type="auto"/>
          </w:tcPr>
          <w:p w14:paraId="4808BCC4" w14:textId="77777777" w:rsidR="00162DC8" w:rsidRDefault="001F3E15" w:rsidP="00E65910">
            <w:pPr>
              <w:pStyle w:val="Compact"/>
              <w:spacing w:line="600" w:lineRule="auto"/>
              <w:jc w:val="center"/>
            </w:pPr>
            <m:oMathPara>
              <m:oMath>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1650</m:t>
                        </m:r>
                      </m:sub>
                    </m:sSub>
                  </m:num>
                  <m:den>
                    <m:sSub>
                      <m:sSubPr>
                        <m:ctrlPr>
                          <w:rPr>
                            <w:rFonts w:ascii="Cambria Math" w:hAnsi="Cambria Math"/>
                          </w:rPr>
                        </m:ctrlPr>
                      </m:sSubPr>
                      <m:e>
                        <m:r>
                          <w:rPr>
                            <w:rFonts w:ascii="Cambria Math" w:hAnsi="Cambria Math"/>
                          </w:rPr>
                          <m:t>B</m:t>
                        </m:r>
                      </m:e>
                      <m:sub>
                        <m:r>
                          <w:rPr>
                            <w:rFonts w:ascii="Cambria Math" w:hAnsi="Cambria Math"/>
                          </w:rPr>
                          <m:t>545</m:t>
                        </m:r>
                      </m:sub>
                    </m:sSub>
                  </m:den>
                </m:f>
              </m:oMath>
            </m:oMathPara>
          </w:p>
        </w:tc>
        <w:tc>
          <w:tcPr>
            <w:tcW w:w="0" w:type="auto"/>
          </w:tcPr>
          <w:p w14:paraId="123E7B74" w14:textId="77777777" w:rsidR="00162DC8" w:rsidRDefault="001F3E15" w:rsidP="00E65910">
            <w:pPr>
              <w:pStyle w:val="Compact"/>
              <w:spacing w:line="600" w:lineRule="auto"/>
              <w:jc w:val="center"/>
            </w:pPr>
            <w:hyperlink w:anchor="ref-roche2010">
              <w:r>
                <w:rPr>
                  <w:rStyle w:val="Hyperlink"/>
                  <w:vertAlign w:val="superscript"/>
                </w:rPr>
                <w:t>47</w:t>
              </w:r>
            </w:hyperlink>
          </w:p>
        </w:tc>
      </w:tr>
      <w:tr w:rsidR="00162DC8" w14:paraId="33BC3876" w14:textId="77777777">
        <w:tc>
          <w:tcPr>
            <w:tcW w:w="0" w:type="auto"/>
          </w:tcPr>
          <w:p w14:paraId="28242F82" w14:textId="77777777" w:rsidR="00162DC8" w:rsidRDefault="001F3E15" w:rsidP="00E65910">
            <w:pPr>
              <w:pStyle w:val="Compact"/>
              <w:spacing w:line="600" w:lineRule="auto"/>
              <w:jc w:val="center"/>
            </w:pPr>
            <m:oMathPara>
              <m:oMath>
                <m:f>
                  <m:fPr>
                    <m:ctrlPr>
                      <w:rPr>
                        <w:rFonts w:ascii="Cambria Math" w:hAnsi="Cambria Math"/>
                      </w:rPr>
                    </m:ctrlPr>
                  </m:fPr>
                  <m:num>
                    <m:r>
                      <w:rPr>
                        <w:rFonts w:ascii="Cambria Math" w:hAnsi="Cambria Math"/>
                      </w:rPr>
                      <m:t>amide</m:t>
                    </m:r>
                    <m:r>
                      <w:rPr>
                        <w:rFonts w:ascii="Cambria Math" w:hAnsi="Cambria Math"/>
                      </w:rPr>
                      <m:t> </m:t>
                    </m:r>
                    <m:r>
                      <w:rPr>
                        <w:rFonts w:ascii="Cambria Math" w:hAnsi="Cambria Math"/>
                      </w:rPr>
                      <m:t>I</m:t>
                    </m:r>
                  </m:num>
                  <m:den>
                    <m:r>
                      <w:rPr>
                        <w:rFonts w:ascii="Cambria Math" w:hAnsi="Cambria Math"/>
                      </w:rPr>
                      <m:t>P</m:t>
                    </m:r>
                    <m:sSub>
                      <m:sSubPr>
                        <m:ctrlPr>
                          <w:rPr>
                            <w:rFonts w:ascii="Cambria Math" w:hAnsi="Cambria Math"/>
                          </w:rPr>
                        </m:ctrlPr>
                      </m:sSubPr>
                      <m:e>
                        <m:r>
                          <w:rPr>
                            <w:rFonts w:ascii="Cambria Math" w:hAnsi="Cambria Math"/>
                          </w:rPr>
                          <m:t>O</m:t>
                        </m:r>
                      </m:e>
                      <m:sub>
                        <m:r>
                          <w:rPr>
                            <w:rFonts w:ascii="Cambria Math" w:hAnsi="Cambria Math"/>
                          </w:rPr>
                          <m:t>4</m:t>
                        </m:r>
                      </m:sub>
                    </m:sSub>
                  </m:den>
                </m:f>
              </m:oMath>
            </m:oMathPara>
          </w:p>
        </w:tc>
        <w:tc>
          <w:tcPr>
            <w:tcW w:w="0" w:type="auto"/>
          </w:tcPr>
          <w:p w14:paraId="0F3F52DE" w14:textId="77777777" w:rsidR="00162DC8" w:rsidRDefault="001F3E15" w:rsidP="00E65910">
            <w:pPr>
              <w:pStyle w:val="Compact"/>
              <w:spacing w:line="600" w:lineRule="auto"/>
              <w:jc w:val="center"/>
            </w:pPr>
            <m:oMathPara>
              <m:oMath>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1650</m:t>
                        </m:r>
                      </m:sub>
                    </m:sSub>
                  </m:num>
                  <m:den>
                    <m:sSub>
                      <m:sSubPr>
                        <m:ctrlPr>
                          <w:rPr>
                            <w:rFonts w:ascii="Cambria Math" w:hAnsi="Cambria Math"/>
                          </w:rPr>
                        </m:ctrlPr>
                      </m:sSubPr>
                      <m:e>
                        <m:r>
                          <w:rPr>
                            <w:rFonts w:ascii="Cambria Math" w:hAnsi="Cambria Math"/>
                          </w:rPr>
                          <m:t>B</m:t>
                        </m:r>
                      </m:e>
                      <m:sub>
                        <m:r>
                          <w:rPr>
                            <w:rFonts w:ascii="Cambria Math" w:hAnsi="Cambria Math"/>
                          </w:rPr>
                          <m:t>1020</m:t>
                        </m:r>
                      </m:sub>
                    </m:sSub>
                  </m:den>
                </m:f>
              </m:oMath>
            </m:oMathPara>
          </w:p>
        </w:tc>
        <w:tc>
          <w:tcPr>
            <w:tcW w:w="0" w:type="auto"/>
          </w:tcPr>
          <w:p w14:paraId="0B5AC174" w14:textId="77777777" w:rsidR="00162DC8" w:rsidRDefault="001F3E15" w:rsidP="00E65910">
            <w:pPr>
              <w:pStyle w:val="Compact"/>
              <w:spacing w:line="600" w:lineRule="auto"/>
              <w:jc w:val="center"/>
            </w:pPr>
            <w:hyperlink w:anchor="ref-lebon2016">
              <w:r>
                <w:rPr>
                  <w:rStyle w:val="Hyperlink"/>
                  <w:vertAlign w:val="superscript"/>
                </w:rPr>
                <w:t>51</w:t>
              </w:r>
            </w:hyperlink>
          </w:p>
        </w:tc>
      </w:tr>
    </w:tbl>
    <w:bookmarkEnd w:id="11"/>
    <w:p w14:paraId="56CEDEFB" w14:textId="77777777" w:rsidR="00162DC8" w:rsidRDefault="001F3E15" w:rsidP="00E65910">
      <w:pPr>
        <w:pStyle w:val="BodyText"/>
        <w:spacing w:line="600" w:lineRule="auto"/>
      </w:pPr>
      <w:r>
        <w:t>Several indices have been proposed to assess the quality and preservation of the collagen and bioapatite components of bone (Table 2). However, many of these rely on regions where there is considerable o</w:t>
      </w:r>
      <w:r>
        <w:t>verlap among the band derived from organic and inorganic functional groups. As a result, some indices cannot be reliably calculated for both unaltered bone and and fully demineralized collagen, limiting their usefulness in our case. For example, quantifyin</w:t>
      </w:r>
      <w:r>
        <w:t xml:space="preserve">g </w:t>
      </w:r>
      <w:r>
        <w:lastRenderedPageBreak/>
        <w:t>carbonate content or loss is complicated by the overlap among carbonate, phosphate, and amide bands. The A-carbonate-on-phosphate and B-carbonate-on-phosphate indices, are commonly used to infer carbonate content in bone and tooth enamel</w:t>
      </w:r>
      <w:hyperlink w:anchor="ref-sydney-zax1991">
        <w:r>
          <w:rPr>
            <w:rStyle w:val="Hyperlink"/>
            <w:vertAlign w:val="superscript"/>
          </w:rPr>
          <w:t>30</w:t>
        </w:r>
      </w:hyperlink>
      <w:r>
        <w:rPr>
          <w:vertAlign w:val="superscript"/>
        </w:rPr>
        <w:t>,</w:t>
      </w:r>
      <w:hyperlink w:anchor="ref-grunenwald2014">
        <w:r>
          <w:rPr>
            <w:rStyle w:val="Hyperlink"/>
            <w:vertAlign w:val="superscript"/>
          </w:rPr>
          <w:t>46</w:t>
        </w:r>
      </w:hyperlink>
      <w:r>
        <w:rPr>
          <w:vertAlign w:val="superscript"/>
        </w:rPr>
        <w:t>–</w:t>
      </w:r>
      <w:hyperlink w:anchor="ref-sponheimer1999">
        <w:r>
          <w:rPr>
            <w:rStyle w:val="Hyperlink"/>
            <w:vertAlign w:val="superscript"/>
          </w:rPr>
          <w:t>48</w:t>
        </w:r>
      </w:hyperlink>
      <w:r>
        <w:t>. However, calculating these indices require reliable measures of the and the A-CO</w:t>
      </w:r>
      <w:r>
        <w:rPr>
          <w:vertAlign w:val="subscript"/>
        </w:rPr>
        <w:t>3</w:t>
      </w:r>
      <w:r>
        <w:t xml:space="preserve"> and B-CO</w:t>
      </w:r>
      <w:r>
        <w:rPr>
          <w:vertAlign w:val="subscript"/>
        </w:rPr>
        <w:t>3</w:t>
      </w:r>
      <w:r>
        <w:t xml:space="preserve"> absorbance bands at 1545 cm</w:t>
      </w:r>
      <w:r>
        <w:rPr>
          <w:vertAlign w:val="superscript"/>
        </w:rPr>
        <w:t>-1</w:t>
      </w:r>
      <w:r>
        <w:t xml:space="preserve"> and 1415 cm</w:t>
      </w:r>
      <w:r>
        <w:rPr>
          <w:vertAlign w:val="superscript"/>
        </w:rPr>
        <w:t>-1</w:t>
      </w:r>
      <w:r>
        <w:t>, res</w:t>
      </w:r>
      <w:r>
        <w:t>pectively. However, the A-CO</w:t>
      </w:r>
      <w:r>
        <w:rPr>
          <w:vertAlign w:val="subscript"/>
        </w:rPr>
        <w:t>3</w:t>
      </w:r>
      <w:r>
        <w:t xml:space="preserve"> and B-CO</w:t>
      </w:r>
      <w:r>
        <w:rPr>
          <w:vertAlign w:val="subscript"/>
        </w:rPr>
        <w:t>3</w:t>
      </w:r>
      <w:r>
        <w:t xml:space="preserve"> bands partially overlap the organic amide II and amide III bands. Taken together, this means it is difficult to quantify CO</w:t>
      </w:r>
      <w:r>
        <w:rPr>
          <w:vertAlign w:val="subscript"/>
        </w:rPr>
        <w:t>3</w:t>
      </w:r>
      <w:r>
        <w:t xml:space="preserve"> and PO</w:t>
      </w:r>
      <w:r>
        <w:rPr>
          <w:vertAlign w:val="subscript"/>
        </w:rPr>
        <w:t>4</w:t>
      </w:r>
      <w:r>
        <w:t xml:space="preserve"> loss using these absorbance bands.</w:t>
      </w:r>
    </w:p>
    <w:p w14:paraId="594D3466" w14:textId="77777777" w:rsidR="00162DC8" w:rsidRDefault="001F3E15" w:rsidP="00E65910">
      <w:pPr>
        <w:pStyle w:val="BodyText"/>
        <w:spacing w:line="600" w:lineRule="auto"/>
      </w:pPr>
      <w:r>
        <w:t>Instead of directly measuring carbonate loss, we</w:t>
      </w:r>
      <w:r>
        <w:t xml:space="preserve"> instead focus quantifying the reduction of phosphate relative to organic content as a proxy for mineral removal. Since most carbonate is bound in the PO</w:t>
      </w:r>
      <w:r>
        <w:rPr>
          <w:vertAlign w:val="subscript"/>
        </w:rPr>
        <w:t>4</w:t>
      </w:r>
      <w:r>
        <w:t xml:space="preserve"> crystallography site, and CO</w:t>
      </w:r>
      <w:r>
        <w:rPr>
          <w:vertAlign w:val="subscript"/>
        </w:rPr>
        <w:t>3</w:t>
      </w:r>
      <w:r>
        <w:t xml:space="preserve"> content affects bioapatite solubility</w:t>
      </w:r>
      <w:hyperlink w:anchor="ref-elliott2002">
        <w:r>
          <w:rPr>
            <w:rStyle w:val="Hyperlink"/>
            <w:vertAlign w:val="superscript"/>
          </w:rPr>
          <w:t>28</w:t>
        </w:r>
      </w:hyperlink>
      <w:r>
        <w:rPr>
          <w:vertAlign w:val="superscript"/>
        </w:rPr>
        <w:t>,</w:t>
      </w:r>
      <w:hyperlink w:anchor="ref-sillen1991">
        <w:r>
          <w:rPr>
            <w:rStyle w:val="Hyperlink"/>
            <w:vertAlign w:val="superscript"/>
          </w:rPr>
          <w:t>53</w:t>
        </w:r>
      </w:hyperlink>
      <w:r>
        <w:t>, phosphate removal should directly track carbonate loss.</w:t>
      </w:r>
      <w:hyperlink w:anchor="ref-lebon2016">
        <w:r>
          <w:rPr>
            <w:rStyle w:val="Hyperlink"/>
            <w:vertAlign w:val="superscript"/>
          </w:rPr>
          <w:t>51</w:t>
        </w:r>
      </w:hyperlink>
      <w:r>
        <w:t xml:space="preserve"> used the ratio of the amide I and ν</w:t>
      </w:r>
      <w:r>
        <w:rPr>
          <w:vertAlign w:val="subscript"/>
        </w:rPr>
        <w:t>3</w:t>
      </w:r>
      <w:r>
        <w:t>PO</w:t>
      </w:r>
      <w:r>
        <w:rPr>
          <w:vertAlign w:val="subscript"/>
        </w:rPr>
        <w:t>4</w:t>
      </w:r>
      <w:r>
        <w:t xml:space="preserve"> absorbance bands </w:t>
      </w:r>
      <m:oMath>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1650</m:t>
                    </m:r>
                  </m:sub>
                </m:sSub>
              </m:num>
              <m:den>
                <m:sSub>
                  <m:sSubPr>
                    <m:ctrlPr>
                      <w:rPr>
                        <w:rFonts w:ascii="Cambria Math" w:hAnsi="Cambria Math"/>
                      </w:rPr>
                    </m:ctrlPr>
                  </m:sSubPr>
                  <m:e>
                    <m:r>
                      <w:rPr>
                        <w:rFonts w:ascii="Cambria Math" w:hAnsi="Cambria Math"/>
                      </w:rPr>
                      <m:t>B</m:t>
                    </m:r>
                  </m:e>
                  <m:sub>
                    <m:r>
                      <w:rPr>
                        <w:rFonts w:ascii="Cambria Math" w:hAnsi="Cambria Math"/>
                      </w:rPr>
                      <m:t>1020</m:t>
                    </m:r>
                  </m:sub>
                </m:sSub>
              </m:den>
            </m:f>
          </m:e>
        </m:d>
      </m:oMath>
      <w:r>
        <w:t xml:space="preserve"> </w:t>
      </w:r>
      <w:r>
        <w:t>to track the carbon and nitrogen content of archaeological bone samples. The ν</w:t>
      </w:r>
      <w:r>
        <w:rPr>
          <w:vertAlign w:val="subscript"/>
        </w:rPr>
        <w:t>3</w:t>
      </w:r>
      <w:r>
        <w:t>PO</w:t>
      </w:r>
      <w:r>
        <w:rPr>
          <w:vertAlign w:val="subscript"/>
        </w:rPr>
        <w:t>4</w:t>
      </w:r>
      <w:r>
        <w:t xml:space="preserve"> band is poorly resolved in demineralized collagen and the 1020 cm</w:t>
      </w:r>
      <w:r>
        <w:rPr>
          <w:vertAlign w:val="superscript"/>
        </w:rPr>
        <w:t>-1</w:t>
      </w:r>
      <w:r>
        <w:t xml:space="preserve"> region and is instead a broad slope, on the “shoulder” of the amide III region (see: Figure 1).</w:t>
      </w:r>
      <w:hyperlink w:anchor="ref-roche2010">
        <w:r>
          <w:rPr>
            <w:rStyle w:val="Hyperlink"/>
            <w:vertAlign w:val="superscript"/>
          </w:rPr>
          <w:t>47</w:t>
        </w:r>
      </w:hyperlink>
      <w:r>
        <w:t xml:space="preserve"> proposed a similar index the Water-Amide-on-Phosphate-Index (WAMPI) as the ratio of the Amide I and ν</w:t>
      </w:r>
      <w:r>
        <w:rPr>
          <w:vertAlign w:val="subscript"/>
        </w:rPr>
        <w:t>2</w:t>
      </w:r>
      <w:r>
        <w:t>PO</w:t>
      </w:r>
      <w:r>
        <w:rPr>
          <w:vertAlign w:val="subscript"/>
        </w:rPr>
        <w:t>4</w:t>
      </w:r>
      <w:r>
        <w:t xml:space="preserve"> absorbance bands </w:t>
      </w:r>
      <m:oMath>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1650</m:t>
                    </m:r>
                  </m:sub>
                </m:sSub>
              </m:num>
              <m:den>
                <m:sSub>
                  <m:sSubPr>
                    <m:ctrlPr>
                      <w:rPr>
                        <w:rFonts w:ascii="Cambria Math" w:hAnsi="Cambria Math"/>
                      </w:rPr>
                    </m:ctrlPr>
                  </m:sSubPr>
                  <m:e>
                    <m:r>
                      <w:rPr>
                        <w:rFonts w:ascii="Cambria Math" w:hAnsi="Cambria Math"/>
                      </w:rPr>
                      <m:t>B</m:t>
                    </m:r>
                  </m:e>
                  <m:sub>
                    <m:r>
                      <w:rPr>
                        <w:rFonts w:ascii="Cambria Math" w:hAnsi="Cambria Math"/>
                      </w:rPr>
                      <m:t>605</m:t>
                    </m:r>
                  </m:sub>
                </m:sSub>
              </m:den>
            </m:f>
          </m:e>
        </m:d>
      </m:oMath>
      <w:r>
        <w:t xml:space="preserve"> to track organic loss fossil bone. We use the WAMPI as our proxy for ratio of the organic an</w:t>
      </w:r>
      <w:r>
        <w:t>d inorganic components of bone, where higher WAMPI values should correspond to mineral removal.</w:t>
      </w:r>
    </w:p>
    <w:p w14:paraId="01E01882" w14:textId="77777777" w:rsidR="00162DC8" w:rsidRDefault="001F3E15" w:rsidP="00E65910">
      <w:pPr>
        <w:pStyle w:val="Heading1"/>
        <w:spacing w:line="600" w:lineRule="auto"/>
      </w:pPr>
      <w:bookmarkStart w:id="12" w:name="sec:methods"/>
      <w:bookmarkEnd w:id="6"/>
      <w:bookmarkEnd w:id="9"/>
      <w:r>
        <w:rPr>
          <w:rStyle w:val="SectionNumber"/>
        </w:rPr>
        <w:lastRenderedPageBreak/>
        <w:t>3</w:t>
      </w:r>
      <w:r>
        <w:tab/>
        <w:t>Materials and Methods</w:t>
      </w:r>
    </w:p>
    <w:p w14:paraId="0D18D27A" w14:textId="77777777" w:rsidR="00162DC8" w:rsidRDefault="001F3E15" w:rsidP="00E65910">
      <w:pPr>
        <w:pStyle w:val="Heading2"/>
        <w:spacing w:line="600" w:lineRule="auto"/>
      </w:pPr>
      <w:bookmarkStart w:id="13" w:name="sec:methods_collection"/>
      <w:r>
        <w:rPr>
          <w:rStyle w:val="SectionNumber"/>
        </w:rPr>
        <w:t>3.1</w:t>
      </w:r>
      <w:r>
        <w:tab/>
        <w:t>Sample Collection</w:t>
      </w:r>
    </w:p>
    <w:p w14:paraId="0C4F3BFC" w14:textId="77777777" w:rsidR="00162DC8" w:rsidRDefault="001F3E15" w:rsidP="00E65910">
      <w:pPr>
        <w:pStyle w:val="FirstParagraph"/>
        <w:spacing w:line="600" w:lineRule="auto"/>
      </w:pPr>
      <w:r>
        <w:t>We selected three materials for analysis; dentine from a modern domestic goat (</w:t>
      </w:r>
      <w:r>
        <w:rPr>
          <w:i/>
          <w:iCs/>
        </w:rPr>
        <w:t>Capra hircus</w:t>
      </w:r>
      <w:r>
        <w:t>), bone from a white ta</w:t>
      </w:r>
      <w:r>
        <w:t>iled deer (</w:t>
      </w:r>
      <w:r>
        <w:rPr>
          <w:i/>
          <w:iCs/>
        </w:rPr>
        <w:t>Odocoileus virginianus</w:t>
      </w:r>
      <w:r>
        <w:t>), and dentine from a blue shark (</w:t>
      </w:r>
      <w:r>
        <w:rPr>
          <w:i/>
          <w:iCs/>
        </w:rPr>
        <w:t>Prionace glauca</w:t>
      </w:r>
      <w:r>
        <w:t>). The goat and deer specimens were fortuitously collected and the shark teeth were collected as part of a previous study</w:t>
      </w:r>
      <w:hyperlink w:anchor="ref-kim2012a">
        <w:r>
          <w:rPr>
            <w:rStyle w:val="Hyperlink"/>
            <w:vertAlign w:val="superscript"/>
          </w:rPr>
          <w:t>54</w:t>
        </w:r>
      </w:hyperlink>
      <w:r>
        <w:t>. We cleaned eac</w:t>
      </w:r>
      <w:r>
        <w:t>h sample of surficial contamination using a toothbrush and deionized water before grinding into a fine powder using either an agate mortar and pestle or SPEX 8000M Mixer Mill. Since blue shark teeth are quite small, we homogenized several teeth from the sa</w:t>
      </w:r>
      <w:r>
        <w:t>me individual to obtain enough material for our experiments. The resulting powders for all specimens were further homogenized via repeated stirring using a vortexer to minimize effects from isotopic zoning in mammal teeth</w:t>
      </w:r>
      <w:hyperlink w:anchor="ref-trayler2017">
        <w:r>
          <w:rPr>
            <w:rStyle w:val="Hyperlink"/>
            <w:vertAlign w:val="superscript"/>
          </w:rPr>
          <w:t>55</w:t>
        </w:r>
      </w:hyperlink>
      <w:r>
        <w:rPr>
          <w:vertAlign w:val="superscript"/>
        </w:rPr>
        <w:t>,</w:t>
      </w:r>
      <w:hyperlink w:anchor="ref-kohn1998">
        <w:r>
          <w:rPr>
            <w:rStyle w:val="Hyperlink"/>
            <w:vertAlign w:val="superscript"/>
          </w:rPr>
          <w:t>56</w:t>
        </w:r>
      </w:hyperlink>
      <w:r>
        <w:t xml:space="preserve"> and variations among multiple teeth from individual sharks</w:t>
      </w:r>
      <w:hyperlink w:anchor="ref-shipley2021">
        <w:r>
          <w:rPr>
            <w:rStyle w:val="Hyperlink"/>
            <w:vertAlign w:val="superscript"/>
          </w:rPr>
          <w:t>57</w:t>
        </w:r>
      </w:hyperlink>
      <w:r>
        <w:t>.</w:t>
      </w:r>
    </w:p>
    <w:p w14:paraId="56BCFCB7" w14:textId="77777777" w:rsidR="00162DC8" w:rsidRDefault="001F3E15" w:rsidP="00E65910">
      <w:pPr>
        <w:pStyle w:val="Heading2"/>
        <w:spacing w:line="600" w:lineRule="auto"/>
      </w:pPr>
      <w:bookmarkStart w:id="14" w:name="sec:methods_preparation"/>
      <w:bookmarkEnd w:id="13"/>
      <w:r>
        <w:rPr>
          <w:rStyle w:val="SectionNumber"/>
        </w:rPr>
        <w:t>3.2</w:t>
      </w:r>
      <w:r>
        <w:tab/>
        <w:t>Demineralization</w:t>
      </w:r>
    </w:p>
    <w:p w14:paraId="2B37E2AF" w14:textId="77777777" w:rsidR="00162DC8" w:rsidRDefault="001F3E15" w:rsidP="00E65910">
      <w:pPr>
        <w:pStyle w:val="FirstParagraph"/>
        <w:spacing w:line="600" w:lineRule="auto"/>
      </w:pPr>
      <w:r>
        <w:t xml:space="preserve">We tested the efficacy of mineral removal in 5 minute increments from 5 to 60 minutes, and </w:t>
      </w:r>
      <w:r>
        <w:t xml:space="preserve">10 minute increments from 70 to 120 minutes. Finally we also tested 18 and 24 hours time steps. All experiments were performed in triplicate. For each time step we weighed 2.5 - 4 mg of powdered bone or dentine into 1.7 mL micro-centrifuge tubes and added </w:t>
      </w:r>
      <w:r>
        <w:t xml:space="preserve">1 mL of cold (4°C) 0.1M hydrochloric acid. Sample were briefly stirred using a vortexer and then placed in a 4°C </w:t>
      </w:r>
      <w:r>
        <w:lastRenderedPageBreak/>
        <w:t>refrigerator (Figure 1). Five minutes before the specified amount of time for each aliquot the samples were removed from the refrigerator and c</w:t>
      </w:r>
      <w:r>
        <w:t>entrifuged at 10,000 RPM for five minutes, and promptly rinsed 5 times with deionized water. For example, the 60-minute time step samples spent 55 minutes in the refrigerator and 5 minutes in the centrifuge for a total of 60 minutes in acid. After rising t</w:t>
      </w:r>
      <w:r>
        <w:t>he samples were frozen and lyophilized prior to FTIR and stable isotope analysis.</w:t>
      </w:r>
    </w:p>
    <w:p w14:paraId="1A001D3B" w14:textId="77777777" w:rsidR="00162DC8" w:rsidRDefault="001F3E15" w:rsidP="00E65910">
      <w:pPr>
        <w:pStyle w:val="Heading2"/>
        <w:spacing w:line="600" w:lineRule="auto"/>
      </w:pPr>
      <w:bookmarkStart w:id="15" w:name="sec:methods_ftir"/>
      <w:bookmarkEnd w:id="14"/>
      <w:r>
        <w:rPr>
          <w:rStyle w:val="SectionNumber"/>
        </w:rPr>
        <w:t>3.3</w:t>
      </w:r>
      <w:r>
        <w:tab/>
        <w:t>FTIR</w:t>
      </w:r>
    </w:p>
    <w:p w14:paraId="116E291E" w14:textId="77777777" w:rsidR="00162DC8" w:rsidRDefault="001F3E15" w:rsidP="00E65910">
      <w:pPr>
        <w:pStyle w:val="FirstParagraph"/>
        <w:spacing w:line="600" w:lineRule="auto"/>
      </w:pPr>
      <w:r>
        <w:t>We collected ATR-FTIR spectra using a Bruker Vertex 70 Far-Infrared FTIR housed in the Nuclear Magnetic Resonance Facility at the University of California, Merced. S</w:t>
      </w:r>
      <w:r>
        <w:t>pectra were collected from 400 - 2000 cm</w:t>
      </w:r>
      <w:r>
        <w:rPr>
          <w:vertAlign w:val="superscript"/>
        </w:rPr>
        <w:t>-1</w:t>
      </w:r>
      <w:r>
        <w:t xml:space="preserve"> for 32 scans at a resolution of 4 cm</w:t>
      </w:r>
      <w:r>
        <w:rPr>
          <w:vertAlign w:val="superscript"/>
        </w:rPr>
        <w:t>-1</w:t>
      </w:r>
      <w:r>
        <w:t xml:space="preserve">. We subtracted the background of each of each spectrum by fitting a smoothed spline to several baseline points (points expected to have an FTIR absorbance of 0) and smoothed </w:t>
      </w:r>
      <w:r>
        <w:t>each spectra slightly</w:t>
      </w:r>
      <w:hyperlink w:anchor="ref-stuart2004">
        <w:r>
          <w:rPr>
            <w:rStyle w:val="Hyperlink"/>
            <w:vertAlign w:val="superscript"/>
          </w:rPr>
          <w:t>42</w:t>
        </w:r>
      </w:hyperlink>
      <w:r>
        <w:t>. We then calculated the WAMPI for each spectrum by dividing the height of the amide I band at 1630 cm</w:t>
      </w:r>
      <w:r>
        <w:rPr>
          <w:vertAlign w:val="superscript"/>
        </w:rPr>
        <w:t>-1</w:t>
      </w:r>
      <w:r>
        <w:t xml:space="preserve"> by the height of the ν</w:t>
      </w:r>
      <w:r>
        <w:rPr>
          <w:vertAlign w:val="subscript"/>
        </w:rPr>
        <w:t>2</w:t>
      </w:r>
      <w:r>
        <w:t>PO</w:t>
      </w:r>
      <w:r>
        <w:rPr>
          <w:vertAlign w:val="subscript"/>
        </w:rPr>
        <w:t>4</w:t>
      </w:r>
      <w:r>
        <w:t xml:space="preserve"> band at 535 cm</w:t>
      </w:r>
      <w:r>
        <w:rPr>
          <w:vertAlign w:val="superscript"/>
        </w:rPr>
        <w:t>-1</w:t>
      </w:r>
      <w:r>
        <w:t>. Since the band positions are approximate, we located the local maxima for each band with a window of ±15 cm</w:t>
      </w:r>
      <w:r>
        <w:rPr>
          <w:vertAlign w:val="superscript"/>
        </w:rPr>
        <w:t>-1</w:t>
      </w:r>
      <w:r>
        <w:t>. All corrections and calculations were performed using a custom R scripts</w:t>
      </w:r>
      <w:hyperlink w:anchor="ref-rcoreteam2021">
        <w:r>
          <w:rPr>
            <w:rStyle w:val="Hyperlink"/>
            <w:vertAlign w:val="superscript"/>
          </w:rPr>
          <w:t>58</w:t>
        </w:r>
      </w:hyperlink>
      <w:r>
        <w:t>, available in the supplement</w:t>
      </w:r>
      <w:r>
        <w:t>ary material.</w:t>
      </w:r>
    </w:p>
    <w:p w14:paraId="4A2C1EB8" w14:textId="77777777" w:rsidR="00162DC8" w:rsidRDefault="001F3E15" w:rsidP="00E65910">
      <w:pPr>
        <w:pStyle w:val="Heading2"/>
        <w:spacing w:line="600" w:lineRule="auto"/>
      </w:pPr>
      <w:bookmarkStart w:id="16" w:name="sec:methods_isotopes"/>
      <w:bookmarkEnd w:id="15"/>
      <w:r>
        <w:rPr>
          <w:rStyle w:val="SectionNumber"/>
        </w:rPr>
        <w:t>3.4</w:t>
      </w:r>
      <w:r>
        <w:tab/>
        <w:t>Stable Isotope Analysis</w:t>
      </w:r>
    </w:p>
    <w:p w14:paraId="19A342E0" w14:textId="77777777" w:rsidR="00162DC8" w:rsidRDefault="001F3E15" w:rsidP="00E65910">
      <w:pPr>
        <w:pStyle w:val="FirstParagraph"/>
        <w:spacing w:line="600" w:lineRule="auto"/>
      </w:pPr>
      <w:r>
        <w:t>The δ</w:t>
      </w:r>
      <w:r>
        <w:rPr>
          <w:vertAlign w:val="superscript"/>
        </w:rPr>
        <w:t>13</w:t>
      </w:r>
      <w:r>
        <w:t>C and δ</w:t>
      </w:r>
      <w:r>
        <w:rPr>
          <w:vertAlign w:val="superscript"/>
        </w:rPr>
        <w:t>15</w:t>
      </w:r>
      <w:r>
        <w:t xml:space="preserve">N values and elemental carbon and nitrogen contents of all samples were measured using a Costech 4010 Elemental Analyzer coupled with a Delta V+ Isotope Ratio </w:t>
      </w:r>
      <w:r>
        <w:lastRenderedPageBreak/>
        <w:t xml:space="preserve">Mass Spectrometer housed in the Stable </w:t>
      </w:r>
      <w:r>
        <w:t>Isotope Ecosystem Laboratory at the University of California, Merced (SIELO). Carbon and nitrogen isotope compositions were corrected for instrument drift, mass linearity, and standardized to the international VPDB and AIR scales using the USGS 40 and USGS</w:t>
      </w:r>
      <w:r>
        <w:t xml:space="preserve"> 41a standard reference materials. The average reproducibility for these reference materials was ±0.12‰ for δ</w:t>
      </w:r>
      <w:r>
        <w:rPr>
          <w:vertAlign w:val="superscript"/>
        </w:rPr>
        <w:t>13</w:t>
      </w:r>
      <w:r>
        <w:t>C and ±0.15‰ for δ</w:t>
      </w:r>
      <w:r>
        <w:rPr>
          <w:vertAlign w:val="superscript"/>
        </w:rPr>
        <w:t>15</w:t>
      </w:r>
      <w:r>
        <w:t>N. We also analyzed several aliquots of a homogenized squid tissue as an in house reference which returned δ</w:t>
      </w:r>
      <w:r>
        <w:rPr>
          <w:vertAlign w:val="superscript"/>
        </w:rPr>
        <w:t>13</w:t>
      </w:r>
      <w:r>
        <w:t>C and δ</w:t>
      </w:r>
      <w:r>
        <w:rPr>
          <w:vertAlign w:val="superscript"/>
        </w:rPr>
        <w:t>15</w:t>
      </w:r>
      <w:r>
        <w:t>N valu</w:t>
      </w:r>
      <w:r>
        <w:t>es of -18.8±0.1‰ and 11.8±0.2‰, respectively, which are indistinguishable from the long-term SIELO average.</w:t>
      </w:r>
    </w:p>
    <w:p w14:paraId="27495089" w14:textId="77777777" w:rsidR="00162DC8" w:rsidRDefault="001F3E15" w:rsidP="00E65910">
      <w:pPr>
        <w:pStyle w:val="Heading1"/>
        <w:spacing w:line="600" w:lineRule="auto"/>
      </w:pPr>
      <w:bookmarkStart w:id="17" w:name="sec:results"/>
      <w:bookmarkEnd w:id="12"/>
      <w:bookmarkEnd w:id="16"/>
      <w:r>
        <w:rPr>
          <w:rStyle w:val="SectionNumber"/>
        </w:rPr>
        <w:t>4</w:t>
      </w:r>
      <w:r>
        <w:tab/>
        <w:t>Results and Discussion</w:t>
      </w:r>
    </w:p>
    <w:p w14:paraId="42A36459" w14:textId="77777777" w:rsidR="00162DC8" w:rsidRDefault="001F3E15" w:rsidP="00E65910">
      <w:pPr>
        <w:pStyle w:val="FirstParagraph"/>
        <w:spacing w:line="600" w:lineRule="auto"/>
      </w:pPr>
      <w:r>
        <w:t xml:space="preserve">All data (FTIR spectra, elemental content, and stable isotope compositions) are available in the supplemental material and </w:t>
      </w:r>
      <w:r>
        <w:t xml:space="preserve">at </w:t>
      </w:r>
      <w:hyperlink r:id="rId8">
        <w:r>
          <w:rPr>
            <w:rStyle w:val="Hyperlink"/>
          </w:rPr>
          <w:t>github.com/robintrayler/collagen_demineralization</w:t>
        </w:r>
      </w:hyperlink>
      <w:r>
        <w:t>.</w:t>
      </w:r>
    </w:p>
    <w:p w14:paraId="114D763D" w14:textId="77777777" w:rsidR="00162DC8" w:rsidRDefault="001F3E15" w:rsidP="00E65910">
      <w:pPr>
        <w:pStyle w:val="CaptionedFigure"/>
        <w:spacing w:line="600" w:lineRule="auto"/>
      </w:pPr>
      <w:bookmarkStart w:id="18" w:name="fig:yield"/>
      <w:r>
        <w:rPr>
          <w:noProof/>
        </w:rPr>
        <w:drawing>
          <wp:inline distT="0" distB="0" distL="0" distR="0" wp14:anchorId="5C25E379" wp14:editId="34947F3C">
            <wp:extent cx="3810000" cy="2540000"/>
            <wp:effectExtent l="0" t="0" r="0" b="0"/>
            <wp:docPr id="42" name="Picture" descr="Figure 2: Fractional weight remaining (A-C) and C/N ratios (D-F) for all samples. The dashed lines in panels D-F indicates proposed acceptable ranges for well preserved collagen. Long dashes (black): is the 2.9–3.6 range of DeNiro41 and Ambrose6. Paired dashes (medium grey) is the more conservative range of 3.00–3.30 of Guiry and Szpak38. short dashes (light grey) is 3.1–3.5 acceptable range of32."/>
            <wp:cNvGraphicFramePr/>
            <a:graphic xmlns:a="http://schemas.openxmlformats.org/drawingml/2006/main">
              <a:graphicData uri="http://schemas.openxmlformats.org/drawingml/2006/picture">
                <pic:pic xmlns:pic="http://schemas.openxmlformats.org/drawingml/2006/picture">
                  <pic:nvPicPr>
                    <pic:cNvPr id="43" name="Picture" descr="./figures/final_figures/yield.pdf"/>
                    <pic:cNvPicPr>
                      <a:picLocks noChangeAspect="1" noChangeArrowheads="1"/>
                    </pic:cNvPicPr>
                  </pic:nvPicPr>
                  <pic:blipFill>
                    <a:blip r:embed="rId9"/>
                    <a:stretch>
                      <a:fillRect/>
                    </a:stretch>
                  </pic:blipFill>
                  <pic:spPr bwMode="auto">
                    <a:xfrm>
                      <a:off x="0" y="0"/>
                      <a:ext cx="3810000" cy="2540000"/>
                    </a:xfrm>
                    <a:prstGeom prst="rect">
                      <a:avLst/>
                    </a:prstGeom>
                    <a:noFill/>
                    <a:ln w="9525">
                      <a:noFill/>
                      <a:headEnd/>
                      <a:tailEnd/>
                    </a:ln>
                  </pic:spPr>
                </pic:pic>
              </a:graphicData>
            </a:graphic>
          </wp:inline>
        </w:drawing>
      </w:r>
      <w:bookmarkEnd w:id="18"/>
    </w:p>
    <w:p w14:paraId="63BDB5B5" w14:textId="77777777" w:rsidR="00162DC8" w:rsidRDefault="001F3E15" w:rsidP="00E65910">
      <w:pPr>
        <w:pStyle w:val="ImageCaption"/>
        <w:spacing w:line="600" w:lineRule="auto"/>
      </w:pPr>
      <w:r>
        <w:t xml:space="preserve">Figure 2: Fractional weight remaining (A-C) and C/N ratios (D-F) for all samples. The dashed lines in panels D-F indicates </w:t>
      </w:r>
      <w:r>
        <w:t>proposed acceptable ranges for well preserved collagen. Long dashes (black): is the 2.9–3.6 range of DeNiro</w:t>
      </w:r>
      <w:hyperlink w:anchor="ref-deniro1985">
        <w:r>
          <w:rPr>
            <w:rStyle w:val="Hyperlink"/>
            <w:vertAlign w:val="superscript"/>
          </w:rPr>
          <w:t>41</w:t>
        </w:r>
      </w:hyperlink>
      <w:r>
        <w:t xml:space="preserve"> and Ambrose</w:t>
      </w:r>
      <w:hyperlink w:anchor="ref-ambrose1990">
        <w:r>
          <w:rPr>
            <w:rStyle w:val="Hyperlink"/>
            <w:vertAlign w:val="superscript"/>
          </w:rPr>
          <w:t>6</w:t>
        </w:r>
      </w:hyperlink>
      <w:r>
        <w:t>. Paired dashes (medium grey) is the more conservative rang</w:t>
      </w:r>
      <w:r>
        <w:t>e of 3.00–3.30 of Guiry and Szpak</w:t>
      </w:r>
      <w:hyperlink w:anchor="ref-guiry2020">
        <w:r>
          <w:rPr>
            <w:rStyle w:val="Hyperlink"/>
            <w:vertAlign w:val="superscript"/>
          </w:rPr>
          <w:t>38</w:t>
        </w:r>
      </w:hyperlink>
      <w:r>
        <w:t>. short dashes (light grey) is 3.1–3.5 acceptable range of</w:t>
      </w:r>
      <w:hyperlink w:anchor="ref-vanklinken1999">
        <w:r>
          <w:rPr>
            <w:rStyle w:val="Hyperlink"/>
            <w:vertAlign w:val="superscript"/>
          </w:rPr>
          <w:t>32</w:t>
        </w:r>
      </w:hyperlink>
      <w:r>
        <w:t>.</w:t>
      </w:r>
    </w:p>
    <w:p w14:paraId="7FF0DFC1" w14:textId="77777777" w:rsidR="00162DC8" w:rsidRDefault="001F3E15" w:rsidP="00E65910">
      <w:pPr>
        <w:pStyle w:val="Heading2"/>
        <w:spacing w:line="600" w:lineRule="auto"/>
      </w:pPr>
      <w:bookmarkStart w:id="19" w:name="sec:results_yield"/>
      <w:r>
        <w:rPr>
          <w:rStyle w:val="SectionNumber"/>
        </w:rPr>
        <w:t>4.1</w:t>
      </w:r>
      <w:r>
        <w:tab/>
        <w:t>Collagen Yield and Quality</w:t>
      </w:r>
    </w:p>
    <w:p w14:paraId="56C4EABE" w14:textId="77777777" w:rsidR="00162DC8" w:rsidRDefault="001F3E15" w:rsidP="00E65910">
      <w:pPr>
        <w:pStyle w:val="FirstParagraph"/>
        <w:spacing w:line="600" w:lineRule="auto"/>
      </w:pPr>
      <w:r>
        <w:t>The fractional weight remaining and C:N</w:t>
      </w:r>
      <w:r>
        <w:rPr>
          <w:vertAlign w:val="subscript"/>
        </w:rPr>
        <w:t>atomic</w:t>
      </w:r>
      <w:r>
        <w:t xml:space="preserve"> for a</w:t>
      </w:r>
      <w:r>
        <w:t>ll samples are shown in Figure 2. In general, all samples showed a rapid reduction in fractional weight after 5 minutes of acid treatment, followed by a prolonged period of weight loss until the fractional weight stabilized. We interpret the weight of time</w:t>
      </w:r>
      <w:r>
        <w:t xml:space="preserve">-steps making up this plateau as indicative of the final collagen yield. </w:t>
      </w:r>
      <w:r>
        <w:rPr>
          <w:i/>
          <w:iCs/>
        </w:rPr>
        <w:t>Capra</w:t>
      </w:r>
      <w:r>
        <w:t xml:space="preserve"> dentine sample weights stabilized after only 5 minutes for an average yield of 9.5±1.1%. The </w:t>
      </w:r>
      <w:r>
        <w:rPr>
          <w:i/>
          <w:iCs/>
        </w:rPr>
        <w:t>Odocoileus</w:t>
      </w:r>
      <w:r>
        <w:t xml:space="preserve"> bone sample weights took longer to stabilize, with a plateau after about </w:t>
      </w:r>
      <w:r>
        <w:t xml:space="preserve">20 minutes, for a final yield of 18.6±2.6%. Finally, while the </w:t>
      </w:r>
      <w:r>
        <w:rPr>
          <w:i/>
          <w:iCs/>
        </w:rPr>
        <w:t>Prionace</w:t>
      </w:r>
      <w:r>
        <w:t xml:space="preserve"> sample weights appear to plateau after about 30 minutes, the 18 and 24 hour time steps show a further reduction in sample weight suggesting that full mineral removal took between 2 and</w:t>
      </w:r>
      <w:r>
        <w:t xml:space="preserve"> 18 hours, in this case.</w:t>
      </w:r>
    </w:p>
    <w:p w14:paraId="5B6E7023" w14:textId="77777777" w:rsidR="00162DC8" w:rsidRDefault="001F3E15" w:rsidP="00E65910">
      <w:pPr>
        <w:pStyle w:val="BodyText"/>
        <w:spacing w:line="600" w:lineRule="auto"/>
      </w:pPr>
      <w:r>
        <w:t>In all cases, untreated samples (time 0) had C:N</w:t>
      </w:r>
      <w:r>
        <w:rPr>
          <w:vertAlign w:val="subscript"/>
        </w:rPr>
        <w:t>atomic</w:t>
      </w:r>
      <w:r>
        <w:t xml:space="preserve"> higher than 3.6 indicating the contribution of carbonate-bound carbon. Most acid treated samples had C:N~atomic within the broadest acceptable range for well preserved collagen</w:t>
      </w:r>
      <w:r>
        <w:t xml:space="preserve"> (2.9–3.6)</w:t>
      </w:r>
      <w:hyperlink w:anchor="ref-ambrose1990">
        <w:r>
          <w:rPr>
            <w:rStyle w:val="Hyperlink"/>
            <w:vertAlign w:val="superscript"/>
          </w:rPr>
          <w:t>6</w:t>
        </w:r>
      </w:hyperlink>
      <w:r>
        <w:rPr>
          <w:vertAlign w:val="superscript"/>
        </w:rPr>
        <w:t>,</w:t>
      </w:r>
      <w:hyperlink w:anchor="ref-vanklinken1999">
        <w:r>
          <w:rPr>
            <w:rStyle w:val="Hyperlink"/>
            <w:vertAlign w:val="superscript"/>
          </w:rPr>
          <w:t>32</w:t>
        </w:r>
      </w:hyperlink>
      <w:r>
        <w:t xml:space="preserve"> </w:t>
      </w:r>
      <w:r>
        <w:t>although not all samples fell within the more conservative ranges proposed by Guiry and Szpak</w:t>
      </w:r>
      <w:hyperlink w:anchor="ref-guiry2020">
        <w:r>
          <w:rPr>
            <w:rStyle w:val="Hyperlink"/>
            <w:vertAlign w:val="superscript"/>
          </w:rPr>
          <w:t>38</w:t>
        </w:r>
      </w:hyperlink>
      <w:r>
        <w:t xml:space="preserve"> and Van Klinken et al.</w:t>
      </w:r>
      <w:hyperlink w:anchor="ref-vanklinken1999">
        <w:r>
          <w:rPr>
            <w:rStyle w:val="Hyperlink"/>
            <w:vertAlign w:val="superscript"/>
          </w:rPr>
          <w:t>32</w:t>
        </w:r>
      </w:hyperlink>
      <w:r>
        <w:t>. In particular the C:N</w:t>
      </w:r>
      <w:r>
        <w:rPr>
          <w:vertAlign w:val="subscript"/>
        </w:rPr>
        <w:t>atomic</w:t>
      </w:r>
      <w:r>
        <w:t xml:space="preserve"> values for our </w:t>
      </w:r>
      <w:r>
        <w:rPr>
          <w:i/>
          <w:iCs/>
        </w:rPr>
        <w:t>Odocoileus</w:t>
      </w:r>
      <w:r>
        <w:t xml:space="preserve"> and</w:t>
      </w:r>
      <w:r>
        <w:t xml:space="preserve"> </w:t>
      </w:r>
      <w:r>
        <w:rPr>
          <w:i/>
          <w:iCs/>
        </w:rPr>
        <w:t>Prionace</w:t>
      </w:r>
      <w:r>
        <w:t xml:space="preserve"> samples were systematically higher than the 3.30 Guiry and Szpak</w:t>
      </w:r>
      <w:hyperlink w:anchor="ref-guiry2020">
        <w:r>
          <w:rPr>
            <w:rStyle w:val="Hyperlink"/>
            <w:vertAlign w:val="superscript"/>
          </w:rPr>
          <w:t>38</w:t>
        </w:r>
      </w:hyperlink>
      <w:r>
        <w:t>. Given that we did not attempt to remove lipids from our collagen samples prior to analysis, we attribute these slightly higher C:N</w:t>
      </w:r>
      <w:r>
        <w:rPr>
          <w:vertAlign w:val="subscript"/>
        </w:rPr>
        <w:t>atomic</w:t>
      </w:r>
      <w:r>
        <w:t xml:space="preserve"> value</w:t>
      </w:r>
      <w:r>
        <w:t>s to lipid inclusion.</w:t>
      </w:r>
    </w:p>
    <w:p w14:paraId="36D0C4E2" w14:textId="77777777" w:rsidR="00162DC8" w:rsidRDefault="001F3E15" w:rsidP="00E65910">
      <w:pPr>
        <w:pStyle w:val="Heading2"/>
        <w:spacing w:line="600" w:lineRule="auto"/>
      </w:pPr>
      <w:bookmarkStart w:id="20" w:name="sec:results_ftir"/>
      <w:bookmarkEnd w:id="19"/>
      <w:r>
        <w:rPr>
          <w:rStyle w:val="SectionNumber"/>
        </w:rPr>
        <w:t>4.2</w:t>
      </w:r>
      <w:r>
        <w:tab/>
        <w:t>FTIR Spectroscopy</w:t>
      </w:r>
    </w:p>
    <w:p w14:paraId="021DE799" w14:textId="77777777" w:rsidR="00162DC8" w:rsidRDefault="001F3E15" w:rsidP="00E65910">
      <w:pPr>
        <w:pStyle w:val="FirstParagraph"/>
        <w:spacing w:line="600" w:lineRule="auto"/>
      </w:pPr>
      <w:r>
        <w:t>Infrared spectra for all samples are shown in Figure 3. Untreated samples (0 minutes) show the expected spectra for collagen-bioapatite mixtures, with prominent absorbance bands for mineral (CO</w:t>
      </w:r>
      <w:r>
        <w:rPr>
          <w:vertAlign w:val="subscript"/>
        </w:rPr>
        <w:t>3</w:t>
      </w:r>
      <w:r>
        <w:t>: 880, 1415, 1545 cm</w:t>
      </w:r>
      <w:r>
        <w:rPr>
          <w:vertAlign w:val="superscript"/>
        </w:rPr>
        <w:t>-1</w:t>
      </w:r>
      <w:r>
        <w:t>; PO</w:t>
      </w:r>
      <w:r>
        <w:rPr>
          <w:vertAlign w:val="subscript"/>
        </w:rPr>
        <w:t>4</w:t>
      </w:r>
      <w:r>
        <w:t>: 565 1020 cm</w:t>
      </w:r>
      <w:r>
        <w:rPr>
          <w:vertAlign w:val="superscript"/>
        </w:rPr>
        <w:t>-1</w:t>
      </w:r>
      <w:r>
        <w:t>) and organic (amide</w:t>
      </w:r>
      <w:r>
        <w:t xml:space="preserve"> I; 1630 cm</w:t>
      </w:r>
      <w:r>
        <w:rPr>
          <w:vertAlign w:val="superscript"/>
        </w:rPr>
        <w:t>-1</w:t>
      </w:r>
      <w:r>
        <w:t>) phases. As acid treatment time increased, the absorbance bands associated with structural phosphate and carbonate became less prominent, while the bands associated with organic content became more pronounced.</w:t>
      </w:r>
    </w:p>
    <w:p w14:paraId="504A95B9" w14:textId="77777777" w:rsidR="00162DC8" w:rsidRDefault="001F3E15" w:rsidP="00E65910">
      <w:pPr>
        <w:pStyle w:val="CaptionedFigure"/>
        <w:spacing w:line="600" w:lineRule="auto"/>
      </w:pPr>
      <w:bookmarkStart w:id="21" w:name="fig:spectra"/>
      <w:r>
        <w:rPr>
          <w:noProof/>
        </w:rPr>
        <w:drawing>
          <wp:inline distT="0" distB="0" distL="0" distR="0" wp14:anchorId="3FE1F850" wp14:editId="5AFFF4E5">
            <wp:extent cx="3810000" cy="2540000"/>
            <wp:effectExtent l="0" t="0" r="0" b="0"/>
            <wp:docPr id="47" name="Picture" descr="Figure 3: FTIR spectra for Capra, Odocoileus, and Prionace bioapatite and collagen."/>
            <wp:cNvGraphicFramePr/>
            <a:graphic xmlns:a="http://schemas.openxmlformats.org/drawingml/2006/main">
              <a:graphicData uri="http://schemas.openxmlformats.org/drawingml/2006/picture">
                <pic:pic xmlns:pic="http://schemas.openxmlformats.org/drawingml/2006/picture">
                  <pic:nvPicPr>
                    <pic:cNvPr id="48" name="Picture" descr="./figures/final_figures/all_spectra.pdf"/>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bookmarkEnd w:id="21"/>
    </w:p>
    <w:p w14:paraId="585EBC70" w14:textId="77777777" w:rsidR="00162DC8" w:rsidRDefault="001F3E15" w:rsidP="00E65910">
      <w:pPr>
        <w:pStyle w:val="ImageCaption"/>
        <w:spacing w:line="600" w:lineRule="auto"/>
      </w:pPr>
      <w:r>
        <w:t xml:space="preserve">Figure 3: FTIR spectra for </w:t>
      </w:r>
      <w:r>
        <w:rPr>
          <w:i/>
          <w:iCs/>
        </w:rPr>
        <w:t>Cap</w:t>
      </w:r>
      <w:r>
        <w:rPr>
          <w:i/>
          <w:iCs/>
        </w:rPr>
        <w:t>ra</w:t>
      </w:r>
      <w:r>
        <w:t xml:space="preserve">, </w:t>
      </w:r>
      <w:r>
        <w:rPr>
          <w:i/>
          <w:iCs/>
        </w:rPr>
        <w:t>Odocoileus</w:t>
      </w:r>
      <w:r>
        <w:t xml:space="preserve">, and </w:t>
      </w:r>
      <w:r>
        <w:rPr>
          <w:i/>
          <w:iCs/>
        </w:rPr>
        <w:t>Prionace</w:t>
      </w:r>
      <w:r>
        <w:t xml:space="preserve"> bioapatite and collagen.</w:t>
      </w:r>
    </w:p>
    <w:p w14:paraId="45700A8D" w14:textId="77777777" w:rsidR="00162DC8" w:rsidRDefault="001F3E15" w:rsidP="00E65910">
      <w:pPr>
        <w:pStyle w:val="BodyText"/>
        <w:spacing w:line="600" w:lineRule="auto"/>
      </w:pPr>
      <w:r>
        <w:t>The 18 and 24 hour treatment groups returned the expected spectrum for pure collagen, and the mean WAMPI for these samples across all materials is 6.7±1.5 (±2σ; absorbance/absorbance) which we use as th</w:t>
      </w:r>
      <w:r>
        <w:t xml:space="preserve">e acceptable range for complete mineral removal (see shaded area on Figure 4 panel G-I). With the exception of untreated dentine, nearly all of our </w:t>
      </w:r>
      <w:r>
        <w:rPr>
          <w:i/>
          <w:iCs/>
        </w:rPr>
        <w:t>Capra</w:t>
      </w:r>
      <w:r>
        <w:t xml:space="preserve"> samples fell within the acceptable range for full mineral removal. Curiously the 110 and 120 minute ti</w:t>
      </w:r>
      <w:r>
        <w:t>me steps did not. However the FTIR spectra for these samples (Figure 3) do not show any residual CO</w:t>
      </w:r>
      <w:r>
        <w:rPr>
          <w:vertAlign w:val="subscript"/>
        </w:rPr>
        <w:t>3</w:t>
      </w:r>
      <w:r>
        <w:t xml:space="preserve"> or PO</w:t>
      </w:r>
      <w:r>
        <w:rPr>
          <w:vertAlign w:val="subscript"/>
        </w:rPr>
        <w:t>4</w:t>
      </w:r>
      <w:r>
        <w:t xml:space="preserve"> derived absorbance bands. </w:t>
      </w:r>
      <w:r>
        <w:rPr>
          <w:i/>
          <w:iCs/>
        </w:rPr>
        <w:t>Odocoileus</w:t>
      </w:r>
      <w:r>
        <w:t xml:space="preserve"> WAMPI values do not overlap the acceptable range until 20 minutes of acidification, which corresponds well with</w:t>
      </w:r>
      <w:r>
        <w:t xml:space="preserve"> our observation that the sample fractional weight reached a plateau at this time (Figure 2). None of the 0 minute to 2 hour </w:t>
      </w:r>
      <w:r>
        <w:rPr>
          <w:i/>
          <w:iCs/>
        </w:rPr>
        <w:t>Prionace</w:t>
      </w:r>
      <w:r>
        <w:t xml:space="preserve"> samples had WAMPI values within the acceptable range, suggesting that full mineral removal took between 2 and 18 hours. Ag</w:t>
      </w:r>
      <w:r>
        <w:t xml:space="preserve">ain, this agrees with our fractional weight observations where </w:t>
      </w:r>
      <w:r>
        <w:rPr>
          <w:i/>
          <w:iCs/>
        </w:rPr>
        <w:t>Prionace</w:t>
      </w:r>
      <w:r>
        <w:t xml:space="preserve"> samples show a prolonged, gradual reduction in sample weight over the entire period of observation.</w:t>
      </w:r>
    </w:p>
    <w:p w14:paraId="76519258" w14:textId="77777777" w:rsidR="00162DC8" w:rsidRDefault="001F3E15" w:rsidP="00E65910">
      <w:pPr>
        <w:pStyle w:val="CaptionedFigure"/>
        <w:spacing w:line="600" w:lineRule="auto"/>
      </w:pPr>
      <w:bookmarkStart w:id="22" w:name="fig:isotopes"/>
      <w:r>
        <w:rPr>
          <w:noProof/>
        </w:rPr>
        <w:drawing>
          <wp:inline distT="0" distB="0" distL="0" distR="0" wp14:anchorId="2862DB3F" wp14:editId="7381C27F">
            <wp:extent cx="3810000" cy="2540000"/>
            <wp:effectExtent l="0" t="0" r="0" b="0"/>
            <wp:docPr id="51" name="Picture" descr="Figure 4: Stable isotope data (A-C: δ13C values; D-F: δ15N values) and FTIR index (G-I: WAMPI) for all samples. Colored points with error bars are the mean ±2 standard deviations for each time step. In many cases the error bars are smaller than the symbol. The dashed grey lines on panels A - F indicate long-term ±2σ analytical reproducibility, centered on the data. The shaded grey band on panels G - H indicates the mean±2σ of WAMPI values for 18 and 24 hours samples, which we interpret as the WAMPI range for fully demineralized collagen."/>
            <wp:cNvGraphicFramePr/>
            <a:graphic xmlns:a="http://schemas.openxmlformats.org/drawingml/2006/main">
              <a:graphicData uri="http://schemas.openxmlformats.org/drawingml/2006/picture">
                <pic:pic xmlns:pic="http://schemas.openxmlformats.org/drawingml/2006/picture">
                  <pic:nvPicPr>
                    <pic:cNvPr id="52" name="Picture" descr="./figures/final_figures/isotope_data.pd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bookmarkEnd w:id="22"/>
    </w:p>
    <w:p w14:paraId="326832FB" w14:textId="77777777" w:rsidR="00162DC8" w:rsidRDefault="001F3E15" w:rsidP="00E65910">
      <w:pPr>
        <w:pStyle w:val="ImageCaption"/>
        <w:spacing w:line="600" w:lineRule="auto"/>
      </w:pPr>
      <w:r>
        <w:t>Figure 4: Stable isotope data (A-C: δ</w:t>
      </w:r>
      <w:r>
        <w:rPr>
          <w:vertAlign w:val="superscript"/>
        </w:rPr>
        <w:t>13</w:t>
      </w:r>
      <w:r>
        <w:t>C values; D-F: δ</w:t>
      </w:r>
      <w:r>
        <w:rPr>
          <w:vertAlign w:val="superscript"/>
        </w:rPr>
        <w:t>15</w:t>
      </w:r>
      <w:r>
        <w:t xml:space="preserve">N values) and FTIR index </w:t>
      </w:r>
      <w:r>
        <w:t>(G-I: WAMPI) for all samples. Colored points with error bars are the mean ±2 standard deviations for each time step. In many cases the error bars are smaller than the symbol. The dashed grey lines on panels A - F indicate long-term ±2σ analytical reproduci</w:t>
      </w:r>
      <w:r>
        <w:t>bility, centered on the data. The shaded grey band on panels G - H indicates the mean±2σ of WAMPI values for 18 and 24 hours samples, which we interpret as the WAMPI range for fully demineralized collagen.</w:t>
      </w:r>
    </w:p>
    <w:p w14:paraId="62788825" w14:textId="77777777" w:rsidR="00162DC8" w:rsidRDefault="001F3E15" w:rsidP="00E65910">
      <w:pPr>
        <w:pStyle w:val="Heading2"/>
        <w:spacing w:line="600" w:lineRule="auto"/>
      </w:pPr>
      <w:bookmarkStart w:id="23" w:name="sec:results_isotope"/>
      <w:bookmarkEnd w:id="20"/>
      <w:r>
        <w:rPr>
          <w:rStyle w:val="SectionNumber"/>
        </w:rPr>
        <w:t>4.3</w:t>
      </w:r>
      <w:r>
        <w:tab/>
        <w:t>Stable Isotopes</w:t>
      </w:r>
    </w:p>
    <w:p w14:paraId="450BDFCA" w14:textId="77777777" w:rsidR="00162DC8" w:rsidRDefault="001F3E15" w:rsidP="00E65910">
      <w:pPr>
        <w:pStyle w:val="Heading3"/>
        <w:spacing w:line="600" w:lineRule="auto"/>
      </w:pPr>
      <w:bookmarkStart w:id="24" w:name="carbon-isotopes"/>
      <w:r>
        <w:rPr>
          <w:rStyle w:val="SectionNumber"/>
        </w:rPr>
        <w:t>4.3.1</w:t>
      </w:r>
      <w:r>
        <w:tab/>
        <w:t>Carbon Isotopes</w:t>
      </w:r>
    </w:p>
    <w:p w14:paraId="739514E2" w14:textId="77777777" w:rsidR="00162DC8" w:rsidRDefault="001F3E15" w:rsidP="00E65910">
      <w:pPr>
        <w:pStyle w:val="FirstParagraph"/>
        <w:spacing w:line="600" w:lineRule="auto"/>
      </w:pPr>
      <w:r>
        <w:t xml:space="preserve">Both </w:t>
      </w:r>
      <w:r>
        <w:rPr>
          <w:i/>
          <w:iCs/>
        </w:rPr>
        <w:t>Cap</w:t>
      </w:r>
      <w:r>
        <w:rPr>
          <w:i/>
          <w:iCs/>
        </w:rPr>
        <w:t>ra</w:t>
      </w:r>
      <w:r>
        <w:t xml:space="preserve"> and </w:t>
      </w:r>
      <w:r>
        <w:rPr>
          <w:i/>
          <w:iCs/>
        </w:rPr>
        <w:t>Odocoileus</w:t>
      </w:r>
      <w:r>
        <w:t xml:space="preserve"> </w:t>
      </w:r>
      <w:r>
        <w:t>carbon isotope compositions shifted lower after 5 minutes of acid treatment, suggesting a rapid removal of structural carbonate. After 5 minutes δ</w:t>
      </w:r>
      <w:r>
        <w:rPr>
          <w:vertAlign w:val="superscript"/>
        </w:rPr>
        <w:t>13</w:t>
      </w:r>
      <w:r>
        <w:t>C values for these two materials show small variations in isotopic composition although within analytical un</w:t>
      </w:r>
      <w:r>
        <w:t xml:space="preserve">certainty. </w:t>
      </w:r>
      <w:r>
        <w:rPr>
          <w:i/>
          <w:iCs/>
        </w:rPr>
        <w:t>Prionace</w:t>
      </w:r>
      <w:r>
        <w:t xml:space="preserve"> samples δ</w:t>
      </w:r>
      <w:r>
        <w:rPr>
          <w:vertAlign w:val="superscript"/>
        </w:rPr>
        <w:t>13</w:t>
      </w:r>
      <w:r>
        <w:t>C values show very little change from 0 minutes to 2 hours, but the 18 and 24 hour time steps have lower δ</w:t>
      </w:r>
      <w:r>
        <w:rPr>
          <w:vertAlign w:val="superscript"/>
        </w:rPr>
        <w:t>13</w:t>
      </w:r>
      <w:r>
        <w:t>C values relative to the shorter time steps. Furthermore, this shift is larger than the analytical uncertainty envelo</w:t>
      </w:r>
      <w:r>
        <w:t xml:space="preserve">pe, suggesting material changes to isotope compositions in the 18 and 24 hour samples. Curiously, the untreated </w:t>
      </w:r>
      <w:r>
        <w:rPr>
          <w:i/>
          <w:iCs/>
        </w:rPr>
        <w:t>Prionace</w:t>
      </w:r>
      <w:r>
        <w:t xml:space="preserve"> samples do not show carbon isotope enrichment associated with carbonate-bound present in both the </w:t>
      </w:r>
      <w:r>
        <w:rPr>
          <w:i/>
          <w:iCs/>
        </w:rPr>
        <w:t>Capra</w:t>
      </w:r>
      <w:r>
        <w:t xml:space="preserve"> and </w:t>
      </w:r>
      <w:r>
        <w:rPr>
          <w:i/>
          <w:iCs/>
        </w:rPr>
        <w:t>Odocoileus</w:t>
      </w:r>
      <w:r>
        <w:t xml:space="preserve"> samples, suggest</w:t>
      </w:r>
      <w:r>
        <w:t>ing either lower carbonate contents or a smaller enrichment between CO</w:t>
      </w:r>
      <w:r>
        <w:rPr>
          <w:vertAlign w:val="subscript"/>
        </w:rPr>
        <w:t>3</w:t>
      </w:r>
      <w:r>
        <w:t xml:space="preserve"> and collagen.</w:t>
      </w:r>
    </w:p>
    <w:p w14:paraId="394F0D66" w14:textId="77777777" w:rsidR="00162DC8" w:rsidRDefault="001F3E15" w:rsidP="00E65910">
      <w:pPr>
        <w:pStyle w:val="Heading3"/>
        <w:spacing w:line="600" w:lineRule="auto"/>
      </w:pPr>
      <w:bookmarkStart w:id="25" w:name="nitrogen-isotopes"/>
      <w:bookmarkEnd w:id="24"/>
      <w:r>
        <w:rPr>
          <w:rStyle w:val="SectionNumber"/>
        </w:rPr>
        <w:t>4.3.2</w:t>
      </w:r>
      <w:r>
        <w:tab/>
        <w:t>Nitrogen Isotopes</w:t>
      </w:r>
    </w:p>
    <w:p w14:paraId="28C1E017" w14:textId="77777777" w:rsidR="00162DC8" w:rsidRDefault="001F3E15" w:rsidP="00E65910">
      <w:pPr>
        <w:pStyle w:val="FirstParagraph"/>
        <w:spacing w:line="600" w:lineRule="auto"/>
      </w:pPr>
      <w:r>
        <w:t>While δ</w:t>
      </w:r>
      <w:r>
        <w:rPr>
          <w:vertAlign w:val="superscript"/>
        </w:rPr>
        <w:t>15</w:t>
      </w:r>
      <w:r>
        <w:t>N values from each material show small changes across time steps, none of the variation was larger than the analytical reproducibility en</w:t>
      </w:r>
      <w:r>
        <w:t xml:space="preserve">velope (Figure 4 D-E). </w:t>
      </w:r>
      <w:r>
        <w:rPr>
          <w:b/>
          <w:bCs/>
        </w:rPr>
        <w:t>I need to flesh this out more</w:t>
      </w:r>
    </w:p>
    <w:p w14:paraId="30BEAA9F" w14:textId="77777777" w:rsidR="00162DC8" w:rsidRDefault="001F3E15" w:rsidP="00E65910">
      <w:pPr>
        <w:pStyle w:val="Heading2"/>
        <w:spacing w:line="600" w:lineRule="auto"/>
      </w:pPr>
      <w:bookmarkStart w:id="26" w:name="sec:carbonate_removal"/>
      <w:bookmarkEnd w:id="23"/>
      <w:bookmarkEnd w:id="25"/>
      <w:r>
        <w:rPr>
          <w:rStyle w:val="SectionNumber"/>
        </w:rPr>
        <w:t>4.4</w:t>
      </w:r>
      <w:r>
        <w:tab/>
        <w:t>Carbonate Removal</w:t>
      </w:r>
    </w:p>
    <w:p w14:paraId="1DA46E8E" w14:textId="77777777" w:rsidR="00162DC8" w:rsidRDefault="001F3E15" w:rsidP="00E65910">
      <w:pPr>
        <w:pStyle w:val="FirstParagraph"/>
        <w:spacing w:line="600" w:lineRule="auto"/>
      </w:pPr>
      <w:r>
        <w:t>Several studies have suggested that acid treatment of mineralized tissues is unwarranted as it may influence δ</w:t>
      </w:r>
      <w:r>
        <w:rPr>
          <w:vertAlign w:val="superscript"/>
        </w:rPr>
        <w:t>13</w:t>
      </w:r>
      <w:r>
        <w:t>C and δ</w:t>
      </w:r>
      <w:r>
        <w:rPr>
          <w:vertAlign w:val="superscript"/>
        </w:rPr>
        <w:t>15</w:t>
      </w:r>
      <w:r>
        <w:t>N values, and the influence of carbonate bound carbon is sma</w:t>
      </w:r>
      <w:r>
        <w:t>ll</w:t>
      </w:r>
      <w:hyperlink w:anchor="ref-turnertomaszewicz2015">
        <w:r>
          <w:rPr>
            <w:rStyle w:val="Hyperlink"/>
            <w:vertAlign w:val="superscript"/>
          </w:rPr>
          <w:t>18</w:t>
        </w:r>
      </w:hyperlink>
      <w:r>
        <w:rPr>
          <w:vertAlign w:val="superscript"/>
        </w:rPr>
        <w:t>–</w:t>
      </w:r>
      <w:hyperlink w:anchor="ref-mateo2008">
        <w:r>
          <w:rPr>
            <w:rStyle w:val="Hyperlink"/>
            <w:vertAlign w:val="superscript"/>
          </w:rPr>
          <w:t>20</w:t>
        </w:r>
      </w:hyperlink>
      <w:r>
        <w:rPr>
          <w:vertAlign w:val="superscript"/>
        </w:rPr>
        <w:t>,</w:t>
      </w:r>
      <w:hyperlink w:anchor="ref-mateo2008">
        <w:r>
          <w:rPr>
            <w:rStyle w:val="Hyperlink"/>
            <w:vertAlign w:val="superscript"/>
          </w:rPr>
          <w:t>20</w:t>
        </w:r>
      </w:hyperlink>
      <w:r>
        <w:t>. However, these studies have mostly focused on marine invertebrates with only</w:t>
      </w:r>
      <w:hyperlink w:anchor="ref-turnertomaszewicz2015">
        <w:r>
          <w:rPr>
            <w:rStyle w:val="Hyperlink"/>
            <w:vertAlign w:val="superscript"/>
          </w:rPr>
          <w:t>18</w:t>
        </w:r>
      </w:hyperlink>
      <w:r>
        <w:t xml:space="preserve"> investigating the influence of mineral removal in vertebrate bone, from marine turtles. At least for mammals, our results clearly contradict this recommendation and show that removing carbonate bound carbon has significant, measurable effects on δ</w:t>
      </w:r>
      <w:r>
        <w:rPr>
          <w:vertAlign w:val="superscript"/>
        </w:rPr>
        <w:t>13</w:t>
      </w:r>
      <w:r>
        <w:t>C va</w:t>
      </w:r>
      <w:r>
        <w:t>lues, and little to no effect on δ</w:t>
      </w:r>
      <w:r>
        <w:rPr>
          <w:vertAlign w:val="superscript"/>
        </w:rPr>
        <w:t>15</w:t>
      </w:r>
      <w:r>
        <w:t xml:space="preserve">N values, for our test materials. For reference, the </w:t>
      </w:r>
      <w:r>
        <w:rPr>
          <w:i/>
          <w:iCs/>
        </w:rPr>
        <w:t>Capra</w:t>
      </w:r>
      <w:r>
        <w:t xml:space="preserve"> and </w:t>
      </w:r>
      <w:r>
        <w:rPr>
          <w:i/>
          <w:iCs/>
        </w:rPr>
        <w:t>Odocoileus</w:t>
      </w:r>
      <w:r>
        <w:t xml:space="preserve"> samples show a 0.5 to 1‰ reduction in δ</w:t>
      </w:r>
      <w:r>
        <w:rPr>
          <w:vertAlign w:val="superscript"/>
        </w:rPr>
        <w:t>13</w:t>
      </w:r>
      <w:r>
        <w:t>C after carbonate removal, in line with our predictions (see: Section 2.1). Small changed in carbon isoto</w:t>
      </w:r>
      <w:r>
        <w:t>pe composition will affect paleoenviromental and paleodietary interpretations. For example, a 1‰ shift in δ</w:t>
      </w:r>
      <w:r>
        <w:rPr>
          <w:vertAlign w:val="superscript"/>
        </w:rPr>
        <w:t>13</w:t>
      </w:r>
      <w:r>
        <w:t>C could have a large impact on dietary modeling</w:t>
      </w:r>
      <w:r>
        <w:rPr>
          <w:vertAlign w:val="superscript"/>
        </w:rPr>
        <w:t xml:space="preserve">e.g., </w:t>
      </w:r>
      <w:hyperlink w:anchor="ref-phillips2012">
        <w:r>
          <w:rPr>
            <w:rStyle w:val="Hyperlink"/>
            <w:vertAlign w:val="superscript"/>
          </w:rPr>
          <w:t>59</w:t>
        </w:r>
      </w:hyperlink>
      <w:r>
        <w:t xml:space="preserve"> and paleoprecipitation calculations</w:t>
      </w:r>
      <w:hyperlink w:anchor="ref-kohn2010">
        <w:r>
          <w:rPr>
            <w:rStyle w:val="Hyperlink"/>
            <w:vertAlign w:val="superscript"/>
          </w:rPr>
          <w:t>60</w:t>
        </w:r>
      </w:hyperlink>
      <w:r>
        <w:t>. Since bone carbonate contents can vary significantly, we feel the most straightforward method of accounting for the different isotopic fractionations among diet, carbonate, and collagen is to simply remove the carbonate-bearing minera</w:t>
      </w:r>
      <w:r>
        <w:t>l fraction.</w:t>
      </w:r>
    </w:p>
    <w:p w14:paraId="4831FA6D" w14:textId="77777777" w:rsidR="00162DC8" w:rsidRDefault="001F3E15" w:rsidP="00E65910">
      <w:pPr>
        <w:pStyle w:val="BodyText"/>
        <w:spacing w:line="600" w:lineRule="auto"/>
      </w:pPr>
      <w:r>
        <w:t>The need for mineral removal in our shark teeth is less clear. There is no obvious influence of carbonate-bound carbon of δ</w:t>
      </w:r>
      <w:r>
        <w:rPr>
          <w:vertAlign w:val="superscript"/>
        </w:rPr>
        <w:t>13</w:t>
      </w:r>
      <w:r>
        <w:t>C values from 0 minutes to 2 hours in our experiments, while the 18 and 24 hour time steps have slightly lower and more</w:t>
      </w:r>
      <w:r>
        <w:t xml:space="preserve"> variable δ</w:t>
      </w:r>
      <w:r>
        <w:rPr>
          <w:vertAlign w:val="superscript"/>
        </w:rPr>
        <w:t>13</w:t>
      </w:r>
      <w:r>
        <w:t>C values. In contrast to mammals, shark bioapatite is primarily fluorapatite [Ca</w:t>
      </w:r>
      <w:r>
        <w:rPr>
          <w:vertAlign w:val="subscript"/>
        </w:rPr>
        <w:t>5</w:t>
      </w:r>
      <w:r>
        <w:t>(PO</w:t>
      </w:r>
      <w:r>
        <w:rPr>
          <w:vertAlign w:val="subscript"/>
        </w:rPr>
        <w:t>4</w:t>
      </w:r>
      <w:r>
        <w:t>)F] and has overall lower CO</w:t>
      </w:r>
      <w:r>
        <w:rPr>
          <w:vertAlign w:val="subscript"/>
        </w:rPr>
        <w:t>3</w:t>
      </w:r>
      <w:r>
        <w:t xml:space="preserve"> contents, and the diet-tissue carbon isotope enrichment factor for shark bioapatite are poorly understood and may even vary</w:t>
      </w:r>
      <w:hyperlink w:anchor="ref-vennemann2001">
        <w:r>
          <w:rPr>
            <w:rStyle w:val="Hyperlink"/>
            <w:vertAlign w:val="superscript"/>
          </w:rPr>
          <w:t>61</w:t>
        </w:r>
      </w:hyperlink>
      <w:r>
        <w:t xml:space="preserve">. This suggests that there may not be a large carbon isotope fractionation between carbonate and collagen, at least in the case of our specific </w:t>
      </w:r>
      <w:r>
        <w:rPr>
          <w:i/>
          <w:iCs/>
        </w:rPr>
        <w:t>Prionace</w:t>
      </w:r>
      <w:r>
        <w:t xml:space="preserve"> sample. Fluroapatite is also less soluble that hydroxyapatite</w:t>
      </w:r>
      <w:hyperlink w:anchor="ref-posner1984">
        <w:r>
          <w:rPr>
            <w:rStyle w:val="Hyperlink"/>
            <w:vertAlign w:val="superscript"/>
          </w:rPr>
          <w:t>62</w:t>
        </w:r>
      </w:hyperlink>
      <w:r>
        <w:t xml:space="preserve">. Since the our measured WAMPI values for </w:t>
      </w:r>
      <w:r>
        <w:rPr>
          <w:i/>
          <w:iCs/>
        </w:rPr>
        <w:t>Prionace</w:t>
      </w:r>
      <w:r>
        <w:t xml:space="preserve"> teeth suggest that full mineral removal took between 2 and 18 hours, so an alternative explanation for the observed trend in δ</w:t>
      </w:r>
      <w:r>
        <w:rPr>
          <w:vertAlign w:val="superscript"/>
        </w:rPr>
        <w:t>13</w:t>
      </w:r>
      <w:r>
        <w:t xml:space="preserve">C values is that carbonate-bound carbon </w:t>
      </w:r>
      <w:r>
        <w:t>was not completely removed until after 2 hours of reaction time.</w:t>
      </w:r>
    </w:p>
    <w:p w14:paraId="40611452" w14:textId="77777777" w:rsidR="00162DC8" w:rsidRDefault="001F3E15" w:rsidP="00E65910">
      <w:pPr>
        <w:pStyle w:val="Heading2"/>
        <w:spacing w:line="600" w:lineRule="auto"/>
      </w:pPr>
      <w:bookmarkStart w:id="27" w:name="evaluating-demineralization-methods"/>
      <w:bookmarkEnd w:id="26"/>
      <w:r>
        <w:rPr>
          <w:rStyle w:val="SectionNumber"/>
        </w:rPr>
        <w:t>4.5</w:t>
      </w:r>
      <w:r>
        <w:tab/>
        <w:t>Evaluating Demineralization Methods</w:t>
      </w:r>
    </w:p>
    <w:p w14:paraId="675556C4" w14:textId="77777777" w:rsidR="00162DC8" w:rsidRDefault="001F3E15" w:rsidP="00E65910">
      <w:pPr>
        <w:pStyle w:val="Heading1"/>
        <w:spacing w:line="600" w:lineRule="auto"/>
      </w:pPr>
      <w:bookmarkStart w:id="28" w:name="sec:conclusions"/>
      <w:bookmarkEnd w:id="17"/>
      <w:bookmarkEnd w:id="27"/>
      <w:r>
        <w:rPr>
          <w:rStyle w:val="SectionNumber"/>
        </w:rPr>
        <w:t>5</w:t>
      </w:r>
      <w:r>
        <w:tab/>
        <w:t>Conclusions</w:t>
      </w:r>
    </w:p>
    <w:p w14:paraId="4FEE9A42" w14:textId="77777777" w:rsidR="00162DC8" w:rsidRDefault="001F3E15" w:rsidP="00E65910">
      <w:pPr>
        <w:pStyle w:val="Heading1"/>
        <w:spacing w:line="600" w:lineRule="auto"/>
      </w:pPr>
      <w:bookmarkStart w:id="29" w:name="sec:sup_info"/>
      <w:bookmarkEnd w:id="28"/>
      <w:r>
        <w:rPr>
          <w:rStyle w:val="SectionNumber"/>
        </w:rPr>
        <w:t>6</w:t>
      </w:r>
      <w:r>
        <w:tab/>
        <w:t>Supplementary Information</w:t>
      </w:r>
    </w:p>
    <w:p w14:paraId="0FA0B5E3" w14:textId="77777777" w:rsidR="00162DC8" w:rsidRDefault="001F3E15" w:rsidP="00E65910">
      <w:pPr>
        <w:pStyle w:val="FirstParagraph"/>
        <w:spacing w:line="600" w:lineRule="auto"/>
      </w:pPr>
      <w:r>
        <w:t>All infrared spectra, stable isotope data, analysis code, and a draft version of this manuscript are availabl</w:t>
      </w:r>
      <w:r>
        <w:t xml:space="preserve">e on at </w:t>
      </w:r>
      <w:hyperlink r:id="rId12">
        <w:r>
          <w:rPr>
            <w:rStyle w:val="Hyperlink"/>
          </w:rPr>
          <w:t>github.com/robintrayler/collagen_demineralization</w:t>
        </w:r>
      </w:hyperlink>
    </w:p>
    <w:p w14:paraId="236E8C20" w14:textId="77777777" w:rsidR="00162DC8" w:rsidRDefault="001F3E15" w:rsidP="00E65910">
      <w:pPr>
        <w:pStyle w:val="Heading1"/>
        <w:spacing w:line="600" w:lineRule="auto"/>
      </w:pPr>
      <w:bookmarkStart w:id="30" w:name="acknowledgments"/>
      <w:bookmarkEnd w:id="29"/>
      <w:r>
        <w:rPr>
          <w:rStyle w:val="SectionNumber"/>
        </w:rPr>
        <w:t>7</w:t>
      </w:r>
      <w:r>
        <w:tab/>
        <w:t>Acknowledgments</w:t>
      </w:r>
    </w:p>
    <w:p w14:paraId="6302661D" w14:textId="77777777" w:rsidR="00162DC8" w:rsidRDefault="001F3E15" w:rsidP="00E65910">
      <w:pPr>
        <w:pStyle w:val="FirstParagraph"/>
        <w:spacing w:line="600" w:lineRule="auto"/>
      </w:pPr>
      <w:r>
        <w:t xml:space="preserve">We thank Maya Morris for her help with time step experiments and Dr. David Rice for his assisting with </w:t>
      </w:r>
      <w:r>
        <w:t xml:space="preserve">FTIR data collection. We also thank Gina Palefsky for providing the </w:t>
      </w:r>
      <w:r>
        <w:rPr>
          <w:i/>
          <w:iCs/>
        </w:rPr>
        <w:t>Odocoileus</w:t>
      </w:r>
      <w:r>
        <w:t xml:space="preserve"> bone and Matthew J. Kohn for providing the </w:t>
      </w:r>
      <w:r>
        <w:rPr>
          <w:i/>
          <w:iCs/>
        </w:rPr>
        <w:t>Capra</w:t>
      </w:r>
      <w:r>
        <w:t xml:space="preserve"> tooth.</w:t>
      </w:r>
    </w:p>
    <w:p w14:paraId="6E14531B" w14:textId="77777777" w:rsidR="00162DC8" w:rsidRDefault="001F3E15" w:rsidP="00E65910">
      <w:pPr>
        <w:pStyle w:val="Heading1"/>
        <w:spacing w:line="600" w:lineRule="auto"/>
      </w:pPr>
      <w:bookmarkStart w:id="31" w:name="references"/>
      <w:bookmarkEnd w:id="30"/>
      <w:r>
        <w:t>References</w:t>
      </w:r>
    </w:p>
    <w:p w14:paraId="1CC51438" w14:textId="77777777" w:rsidR="00162DC8" w:rsidRDefault="001F3E15" w:rsidP="00E65910">
      <w:pPr>
        <w:pStyle w:val="Bibliography"/>
        <w:spacing w:line="600" w:lineRule="auto"/>
      </w:pPr>
      <w:bookmarkStart w:id="32" w:name="ref-clementz2012"/>
      <w:bookmarkStart w:id="33" w:name="refs"/>
      <w:r>
        <w:t xml:space="preserve">1. </w:t>
      </w:r>
      <w:r>
        <w:tab/>
        <w:t xml:space="preserve">Clementz MT. New insight from old bones: Stable isotope analysis of fossil mammals. </w:t>
      </w:r>
      <w:r>
        <w:rPr>
          <w:i/>
          <w:iCs/>
        </w:rPr>
        <w:t>Journal of Mammalogy</w:t>
      </w:r>
      <w:r>
        <w:t xml:space="preserve">. </w:t>
      </w:r>
      <w:r>
        <w:t>2012;93(2):368-380.</w:t>
      </w:r>
    </w:p>
    <w:p w14:paraId="4FA560EA" w14:textId="77777777" w:rsidR="00162DC8" w:rsidRDefault="001F3E15" w:rsidP="00E65910">
      <w:pPr>
        <w:pStyle w:val="Bibliography"/>
        <w:spacing w:line="600" w:lineRule="auto"/>
      </w:pPr>
      <w:bookmarkStart w:id="34" w:name="ref-koch1994"/>
      <w:bookmarkEnd w:id="32"/>
      <w:r>
        <w:t xml:space="preserve">2. </w:t>
      </w:r>
      <w:r>
        <w:tab/>
        <w:t xml:space="preserve">Koch PL, Fogel ML, Tuross N. Tracing the diets of fossil animals using stable isotopes. </w:t>
      </w:r>
      <w:r>
        <w:rPr>
          <w:i/>
          <w:iCs/>
        </w:rPr>
        <w:t>Stable Isotopes in Ecology and Environmental Science</w:t>
      </w:r>
      <w:r>
        <w:t>. Published online 1994:63-92.</w:t>
      </w:r>
    </w:p>
    <w:p w14:paraId="1683D02B" w14:textId="77777777" w:rsidR="00162DC8" w:rsidRDefault="001F3E15" w:rsidP="00E65910">
      <w:pPr>
        <w:pStyle w:val="Bibliography"/>
        <w:spacing w:line="600" w:lineRule="auto"/>
      </w:pPr>
      <w:bookmarkStart w:id="35" w:name="ref-hedges2007"/>
      <w:bookmarkEnd w:id="34"/>
      <w:r>
        <w:t xml:space="preserve">3. </w:t>
      </w:r>
      <w:r>
        <w:tab/>
        <w:t>Hedges REM, Clement JG, Thomas CDL, O’connell TC. Collage</w:t>
      </w:r>
      <w:r>
        <w:t xml:space="preserve">n turnover in the adult femoral mid-shaft: Modeled from anthropogenic radiocarbon tracer measurements. </w:t>
      </w:r>
      <w:r>
        <w:rPr>
          <w:i/>
          <w:iCs/>
        </w:rPr>
        <w:t>American Journal of Physical Anthropology</w:t>
      </w:r>
      <w:r>
        <w:t>. 2007;133(2):808-816.</w:t>
      </w:r>
    </w:p>
    <w:p w14:paraId="59D5CF52" w14:textId="77777777" w:rsidR="00162DC8" w:rsidRDefault="001F3E15" w:rsidP="00E65910">
      <w:pPr>
        <w:pStyle w:val="Bibliography"/>
        <w:spacing w:line="600" w:lineRule="auto"/>
      </w:pPr>
      <w:bookmarkStart w:id="36" w:name="ref-deniro1978"/>
      <w:bookmarkEnd w:id="35"/>
      <w:r>
        <w:t xml:space="preserve">4. </w:t>
      </w:r>
      <w:r>
        <w:tab/>
        <w:t>DeNiro MJ, Epstein S. Influence of diet on the distribution of carbon isotopes in ani</w:t>
      </w:r>
      <w:r>
        <w:t xml:space="preserve">mals. </w:t>
      </w:r>
      <w:r>
        <w:rPr>
          <w:i/>
          <w:iCs/>
        </w:rPr>
        <w:t>Geochimica et Cosmochimica Acta</w:t>
      </w:r>
      <w:r>
        <w:t>. 1978;42(5):495-506.</w:t>
      </w:r>
    </w:p>
    <w:p w14:paraId="7A7F647D" w14:textId="77777777" w:rsidR="00162DC8" w:rsidRDefault="001F3E15" w:rsidP="00E65910">
      <w:pPr>
        <w:pStyle w:val="Bibliography"/>
        <w:spacing w:line="600" w:lineRule="auto"/>
      </w:pPr>
      <w:bookmarkStart w:id="37" w:name="ref-deniro1981"/>
      <w:bookmarkEnd w:id="36"/>
      <w:r>
        <w:t xml:space="preserve">5. </w:t>
      </w:r>
      <w:r>
        <w:tab/>
        <w:t xml:space="preserve">DeNiro MJ, Epstein S. Influence of Diet on the Distribution of Nitrogen Isotopes in Animals. </w:t>
      </w:r>
      <w:r>
        <w:rPr>
          <w:i/>
          <w:iCs/>
        </w:rPr>
        <w:t>Geochimica et Cosmochimica Acta</w:t>
      </w:r>
      <w:r>
        <w:t>. 1981;45(3):341-351.</w:t>
      </w:r>
    </w:p>
    <w:p w14:paraId="043EF83D" w14:textId="77777777" w:rsidR="00162DC8" w:rsidRDefault="001F3E15" w:rsidP="00E65910">
      <w:pPr>
        <w:pStyle w:val="Bibliography"/>
        <w:spacing w:line="600" w:lineRule="auto"/>
      </w:pPr>
      <w:bookmarkStart w:id="38" w:name="ref-ambrose1990"/>
      <w:bookmarkEnd w:id="37"/>
      <w:r>
        <w:t xml:space="preserve">6. </w:t>
      </w:r>
      <w:r>
        <w:tab/>
      </w:r>
      <w:r>
        <w:t xml:space="preserve">Ambrose SH. Preparation And Characterization Of Bone And Tooth Collagen For Isotopic Analysis. </w:t>
      </w:r>
      <w:r>
        <w:rPr>
          <w:i/>
          <w:iCs/>
        </w:rPr>
        <w:t>Journal of Archaeological Science</w:t>
      </w:r>
      <w:r>
        <w:t>. 1990;17(43):145.</w:t>
      </w:r>
    </w:p>
    <w:p w14:paraId="7EC5F421" w14:textId="77777777" w:rsidR="00162DC8" w:rsidRDefault="001F3E15" w:rsidP="00E65910">
      <w:pPr>
        <w:pStyle w:val="Bibliography"/>
        <w:spacing w:line="600" w:lineRule="auto"/>
      </w:pPr>
      <w:bookmarkStart w:id="39" w:name="ref-schwarcz1991"/>
      <w:bookmarkEnd w:id="38"/>
      <w:r>
        <w:t xml:space="preserve">7. </w:t>
      </w:r>
      <w:r>
        <w:tab/>
        <w:t xml:space="preserve">Schwarcz HP, Schoeninger MJ. Stable isotope analyses in human nutritional ecology. </w:t>
      </w:r>
      <w:r>
        <w:rPr>
          <w:i/>
          <w:iCs/>
        </w:rPr>
        <w:t>American Journal of Ph</w:t>
      </w:r>
      <w:r>
        <w:rPr>
          <w:i/>
          <w:iCs/>
        </w:rPr>
        <w:t>ysical Anthropology</w:t>
      </w:r>
      <w:r>
        <w:t>. 1991;34(S13):283-321.</w:t>
      </w:r>
    </w:p>
    <w:p w14:paraId="0B338A21" w14:textId="77777777" w:rsidR="00162DC8" w:rsidRDefault="001F3E15" w:rsidP="00E65910">
      <w:pPr>
        <w:pStyle w:val="Bibliography"/>
        <w:spacing w:line="600" w:lineRule="auto"/>
      </w:pPr>
      <w:bookmarkStart w:id="40" w:name="ref-szpak2011"/>
      <w:bookmarkEnd w:id="39"/>
      <w:r>
        <w:t xml:space="preserve">8. </w:t>
      </w:r>
      <w:r>
        <w:tab/>
        <w:t xml:space="preserve">Szpak P. Fish bone chemistry and ultrastructure: Implications for taphonomy and stable isotope analysis. </w:t>
      </w:r>
      <w:r>
        <w:rPr>
          <w:i/>
          <w:iCs/>
        </w:rPr>
        <w:t>Journal of Archaeological Science</w:t>
      </w:r>
      <w:r>
        <w:t>. 2011;38(12):3358-3372.</w:t>
      </w:r>
    </w:p>
    <w:p w14:paraId="5346DC71" w14:textId="77777777" w:rsidR="00162DC8" w:rsidRDefault="001F3E15" w:rsidP="00E65910">
      <w:pPr>
        <w:pStyle w:val="Bibliography"/>
        <w:spacing w:line="600" w:lineRule="auto"/>
      </w:pPr>
      <w:bookmarkStart w:id="41" w:name="ref-tuross2002"/>
      <w:bookmarkEnd w:id="40"/>
      <w:r>
        <w:t xml:space="preserve">9. </w:t>
      </w:r>
      <w:r>
        <w:tab/>
        <w:t xml:space="preserve">Tuross N. Alterations in fossil collagen. </w:t>
      </w:r>
      <w:r>
        <w:rPr>
          <w:i/>
          <w:iCs/>
        </w:rPr>
        <w:t>Archaeometry</w:t>
      </w:r>
      <w:r>
        <w:t>. 2002;44(3):427-434.</w:t>
      </w:r>
    </w:p>
    <w:p w14:paraId="6083CDB0" w14:textId="77777777" w:rsidR="00162DC8" w:rsidRDefault="001F3E15" w:rsidP="00E65910">
      <w:pPr>
        <w:pStyle w:val="Bibliography"/>
        <w:spacing w:line="600" w:lineRule="auto"/>
      </w:pPr>
      <w:bookmarkStart w:id="42" w:name="ref-tuross1988"/>
      <w:bookmarkEnd w:id="41"/>
      <w:r>
        <w:t xml:space="preserve">10. </w:t>
      </w:r>
      <w:r>
        <w:tab/>
        <w:t xml:space="preserve">Tuross N, Fogel ML, Hare P. Variability in the preservation of the isotopic composition of collagen from fossil bone. </w:t>
      </w:r>
      <w:r>
        <w:rPr>
          <w:i/>
          <w:iCs/>
        </w:rPr>
        <w:t>Geochimica et Cosmochimica Acta</w:t>
      </w:r>
      <w:r>
        <w:t>. 1988;52(4):929-935.</w:t>
      </w:r>
    </w:p>
    <w:p w14:paraId="3B76D5B2" w14:textId="77777777" w:rsidR="00162DC8" w:rsidRDefault="001F3E15" w:rsidP="00E65910">
      <w:pPr>
        <w:pStyle w:val="Bibliography"/>
        <w:spacing w:line="600" w:lineRule="auto"/>
      </w:pPr>
      <w:bookmarkStart w:id="43" w:name="ref-fuller2015"/>
      <w:bookmarkEnd w:id="42"/>
      <w:r>
        <w:t xml:space="preserve">11. </w:t>
      </w:r>
      <w:r>
        <w:tab/>
        <w:t>Fuller BT, Harris JM, Farrell AB, Takeuch</w:t>
      </w:r>
      <w:r>
        <w:t xml:space="preserve">i G, Southon JR. Sample preparation for radiocarbon dating and isotopic analysis of bone from Rancho La Brea. </w:t>
      </w:r>
      <w:r>
        <w:rPr>
          <w:i/>
          <w:iCs/>
        </w:rPr>
        <w:t>La Brea and beyond: The paleontology of asphalt-preserved biotas, ed JM Harris Natural History Museum of Los Angeles County, Science Series</w:t>
      </w:r>
      <w:r>
        <w:t>. 2015;</w:t>
      </w:r>
      <w:r>
        <w:t>(42):151-167.</w:t>
      </w:r>
    </w:p>
    <w:p w14:paraId="58F0D1B3" w14:textId="77777777" w:rsidR="00162DC8" w:rsidRDefault="001F3E15" w:rsidP="00E65910">
      <w:pPr>
        <w:pStyle w:val="Bibliography"/>
        <w:spacing w:line="600" w:lineRule="auto"/>
      </w:pPr>
      <w:bookmarkStart w:id="44" w:name="ref-passey2005a"/>
      <w:bookmarkEnd w:id="43"/>
      <w:r>
        <w:t xml:space="preserve">12. </w:t>
      </w:r>
      <w:r>
        <w:tab/>
        <w:t>Passey BH, Robinson TF, Ayliffe LK, et al. Carbon isotope fractionation between diet, breath CO</w:t>
      </w:r>
      <w:r>
        <w:rPr>
          <w:vertAlign w:val="subscript"/>
        </w:rPr>
        <w:t>2</w:t>
      </w:r>
      <w:r>
        <w:t xml:space="preserve">, and bioapatite in different mammals. </w:t>
      </w:r>
      <w:r>
        <w:rPr>
          <w:i/>
          <w:iCs/>
        </w:rPr>
        <w:t>Journal of Archaeological Science</w:t>
      </w:r>
      <w:r>
        <w:t>. 2005;32(10):1459-1470.</w:t>
      </w:r>
    </w:p>
    <w:p w14:paraId="29A9972C" w14:textId="77777777" w:rsidR="00162DC8" w:rsidRDefault="001F3E15" w:rsidP="00E65910">
      <w:pPr>
        <w:pStyle w:val="Bibliography"/>
        <w:spacing w:line="600" w:lineRule="auto"/>
      </w:pPr>
      <w:bookmarkStart w:id="45" w:name="ref-ambrose1993"/>
      <w:bookmarkEnd w:id="44"/>
      <w:r>
        <w:t xml:space="preserve">13. </w:t>
      </w:r>
      <w:r>
        <w:tab/>
      </w:r>
      <w:r>
        <w:t xml:space="preserve">Ambrose SH, Norr L. Experimental evidence for the relationship of the carbon isotope ratios of whole diet and dietary protein to those of bone collagen and carbonate. In: </w:t>
      </w:r>
      <w:r>
        <w:rPr>
          <w:i/>
          <w:iCs/>
        </w:rPr>
        <w:t>Prehistoric Human Bone</w:t>
      </w:r>
      <w:r>
        <w:t>. Springer; 1993:1-37.</w:t>
      </w:r>
    </w:p>
    <w:p w14:paraId="6A192FF9" w14:textId="77777777" w:rsidR="00162DC8" w:rsidRDefault="001F3E15" w:rsidP="00E65910">
      <w:pPr>
        <w:pStyle w:val="Bibliography"/>
        <w:spacing w:line="600" w:lineRule="auto"/>
      </w:pPr>
      <w:bookmarkStart w:id="46" w:name="ref-longin1971"/>
      <w:bookmarkEnd w:id="45"/>
      <w:r>
        <w:t xml:space="preserve">14. </w:t>
      </w:r>
      <w:r>
        <w:tab/>
        <w:t>Longin R. New method of collagen ex</w:t>
      </w:r>
      <w:r>
        <w:t xml:space="preserve">traction for radiocarbon dating. </w:t>
      </w:r>
      <w:r>
        <w:rPr>
          <w:i/>
          <w:iCs/>
        </w:rPr>
        <w:t>Nature</w:t>
      </w:r>
      <w:r>
        <w:t>. 1971;230(5291):241-242.</w:t>
      </w:r>
    </w:p>
    <w:p w14:paraId="63525E1D" w14:textId="77777777" w:rsidR="00162DC8" w:rsidRDefault="001F3E15" w:rsidP="00E65910">
      <w:pPr>
        <w:pStyle w:val="Bibliography"/>
        <w:spacing w:line="600" w:lineRule="auto"/>
      </w:pPr>
      <w:bookmarkStart w:id="47" w:name="ref-pestle2010"/>
      <w:bookmarkEnd w:id="46"/>
      <w:r>
        <w:t xml:space="preserve">15. </w:t>
      </w:r>
      <w:r>
        <w:tab/>
        <w:t xml:space="preserve">Pestle WJ. Chemical, elemental, and isotopic effects of acid concentration and treatment duration on ancient bone collagen: An exploratory study. </w:t>
      </w:r>
      <w:r>
        <w:rPr>
          <w:i/>
          <w:iCs/>
        </w:rPr>
        <w:t>Journal of Archaeological Science</w:t>
      </w:r>
      <w:r>
        <w:t>. 2010;</w:t>
      </w:r>
      <w:r>
        <w:t>37(12):3124-3128.</w:t>
      </w:r>
    </w:p>
    <w:p w14:paraId="69F165A2" w14:textId="77777777" w:rsidR="00162DC8" w:rsidRDefault="001F3E15" w:rsidP="00E65910">
      <w:pPr>
        <w:pStyle w:val="Bibliography"/>
        <w:spacing w:line="600" w:lineRule="auto"/>
      </w:pPr>
      <w:bookmarkStart w:id="48" w:name="ref-sealy2014"/>
      <w:bookmarkEnd w:id="47"/>
      <w:r>
        <w:t xml:space="preserve">16. </w:t>
      </w:r>
      <w:r>
        <w:tab/>
        <w:t xml:space="preserve">Sealy J, Johnson M, Richards M, Nehlich O. Comparison of two methods of extracting bone collagen for stable carbon and nitrogen isotope analysis: Comparing whole bone demineralization with gelatinization and ultrafiltration. </w:t>
      </w:r>
      <w:r>
        <w:rPr>
          <w:i/>
          <w:iCs/>
        </w:rPr>
        <w:t xml:space="preserve">Journal </w:t>
      </w:r>
      <w:r>
        <w:rPr>
          <w:i/>
          <w:iCs/>
        </w:rPr>
        <w:t>of Archaeological Science</w:t>
      </w:r>
      <w:r>
        <w:t>. 2014;47:64-69.</w:t>
      </w:r>
    </w:p>
    <w:p w14:paraId="6CD4F5A7" w14:textId="77777777" w:rsidR="00162DC8" w:rsidRDefault="001F3E15" w:rsidP="00E65910">
      <w:pPr>
        <w:pStyle w:val="Bibliography"/>
        <w:spacing w:line="600" w:lineRule="auto"/>
      </w:pPr>
      <w:bookmarkStart w:id="49" w:name="ref-brault2014"/>
      <w:bookmarkEnd w:id="48"/>
      <w:r>
        <w:t xml:space="preserve">17. </w:t>
      </w:r>
      <w:r>
        <w:tab/>
        <w:t xml:space="preserve">Brault EK, Koch PL, Gier E, et al. Effects of decalcification on bulk and compound-specific nitrogen and carbon isotope analyses of dentin. </w:t>
      </w:r>
      <w:r>
        <w:rPr>
          <w:i/>
          <w:iCs/>
        </w:rPr>
        <w:t>Rapid Communications in Mass Spectrometry</w:t>
      </w:r>
      <w:r>
        <w:t>. 2014;28(24):2744-2752.</w:t>
      </w:r>
    </w:p>
    <w:p w14:paraId="40E106E6" w14:textId="77777777" w:rsidR="00162DC8" w:rsidRDefault="001F3E15" w:rsidP="00E65910">
      <w:pPr>
        <w:pStyle w:val="Bibliography"/>
        <w:spacing w:line="600" w:lineRule="auto"/>
      </w:pPr>
      <w:bookmarkStart w:id="50" w:name="ref-turnertomaszewicz2015"/>
      <w:bookmarkEnd w:id="49"/>
      <w:r>
        <w:t>18.</w:t>
      </w:r>
      <w:r>
        <w:t xml:space="preserve"> </w:t>
      </w:r>
      <w:r>
        <w:tab/>
        <w:t xml:space="preserve">Turner Tomaszewicz CN, Seminoff JA, Ramirez MD, Kurle CM. Effects of demineralization on the stable isotope analysis of bone samples. </w:t>
      </w:r>
      <w:r>
        <w:rPr>
          <w:i/>
          <w:iCs/>
        </w:rPr>
        <w:t>Rapid Communications in Mass Spectrometry</w:t>
      </w:r>
      <w:r>
        <w:t>. 2015;29(20):1879-1888.</w:t>
      </w:r>
    </w:p>
    <w:p w14:paraId="13D26985" w14:textId="77777777" w:rsidR="00162DC8" w:rsidRDefault="001F3E15" w:rsidP="00E65910">
      <w:pPr>
        <w:pStyle w:val="Bibliography"/>
        <w:spacing w:line="600" w:lineRule="auto"/>
      </w:pPr>
      <w:bookmarkStart w:id="51" w:name="ref-jacob2005"/>
      <w:bookmarkEnd w:id="50"/>
      <w:r>
        <w:t xml:space="preserve">19. </w:t>
      </w:r>
      <w:r>
        <w:tab/>
        <w:t xml:space="preserve">Jacob U, Mintenbeck K, Brey T, Knust R, Beyer K. </w:t>
      </w:r>
      <w:r>
        <w:t xml:space="preserve">Stable isotope food web studies: A case for standardized sample treatment. </w:t>
      </w:r>
      <w:r>
        <w:rPr>
          <w:i/>
          <w:iCs/>
        </w:rPr>
        <w:t>Marine Ecology Progress Series</w:t>
      </w:r>
      <w:r>
        <w:t>. 2005;287:251-253.</w:t>
      </w:r>
    </w:p>
    <w:p w14:paraId="0A26BD21" w14:textId="77777777" w:rsidR="00162DC8" w:rsidRDefault="001F3E15" w:rsidP="00E65910">
      <w:pPr>
        <w:pStyle w:val="Bibliography"/>
        <w:spacing w:line="600" w:lineRule="auto"/>
      </w:pPr>
      <w:bookmarkStart w:id="52" w:name="ref-mateo2008"/>
      <w:bookmarkEnd w:id="51"/>
      <w:r>
        <w:t xml:space="preserve">20. </w:t>
      </w:r>
      <w:r>
        <w:tab/>
        <w:t xml:space="preserve">Mateo MA, Serrano O, Serrano L, Michener RH. Effects of sample preparation on stable isotope ratios of carbon and nitrogen in </w:t>
      </w:r>
      <w:r>
        <w:t xml:space="preserve">marine invertebrates: Implications for food web studies using stable isotopes. </w:t>
      </w:r>
      <w:r>
        <w:rPr>
          <w:i/>
          <w:iCs/>
        </w:rPr>
        <w:t>Oecologia</w:t>
      </w:r>
      <w:r>
        <w:t>. 2008;157(1):105-115.</w:t>
      </w:r>
    </w:p>
    <w:p w14:paraId="0B325C1B" w14:textId="77777777" w:rsidR="00162DC8" w:rsidRDefault="001F3E15" w:rsidP="00E65910">
      <w:pPr>
        <w:pStyle w:val="Bibliography"/>
        <w:spacing w:line="600" w:lineRule="auto"/>
      </w:pPr>
      <w:bookmarkStart w:id="53" w:name="ref-drewicz2020"/>
      <w:bookmarkEnd w:id="52"/>
      <w:r>
        <w:t xml:space="preserve">21. </w:t>
      </w:r>
      <w:r>
        <w:tab/>
        <w:t>Drewicz AE, Trayler RB, Hollaway M, Harrigan CO, Kohn MJ. The interpretability of stable hydrogen isotopes in modern herbivore tooth enamel.</w:t>
      </w:r>
      <w:r>
        <w:t xml:space="preserve"> </w:t>
      </w:r>
      <w:r>
        <w:rPr>
          <w:i/>
          <w:iCs/>
        </w:rPr>
        <w:t>Geochimica et Cosmochimica Acta</w:t>
      </w:r>
      <w:r>
        <w:t>. 2020;270:84-94.</w:t>
      </w:r>
    </w:p>
    <w:p w14:paraId="2604255E" w14:textId="77777777" w:rsidR="00162DC8" w:rsidRDefault="001F3E15" w:rsidP="00E65910">
      <w:pPr>
        <w:pStyle w:val="Bibliography"/>
        <w:spacing w:line="600" w:lineRule="auto"/>
      </w:pPr>
      <w:bookmarkStart w:id="54" w:name="ref-reynard2008"/>
      <w:bookmarkEnd w:id="53"/>
      <w:r>
        <w:t xml:space="preserve">22. </w:t>
      </w:r>
      <w:r>
        <w:tab/>
        <w:t xml:space="preserve">Reynard LM, Hedges RE. Stable hydrogen isotopes of bone collagen in palaeodietary and palaeoenvironmental reconstruction. </w:t>
      </w:r>
      <w:r>
        <w:rPr>
          <w:i/>
          <w:iCs/>
        </w:rPr>
        <w:t>Journal of Archaeological Science</w:t>
      </w:r>
      <w:r>
        <w:t>. 2008;35(7):1934-1942.</w:t>
      </w:r>
    </w:p>
    <w:p w14:paraId="081A4B69" w14:textId="77777777" w:rsidR="00162DC8" w:rsidRDefault="001F3E15" w:rsidP="00E65910">
      <w:pPr>
        <w:pStyle w:val="Bibliography"/>
        <w:spacing w:line="600" w:lineRule="auto"/>
      </w:pPr>
      <w:bookmarkStart w:id="55" w:name="ref-hedges2004"/>
      <w:bookmarkEnd w:id="54"/>
      <w:r>
        <w:t xml:space="preserve">23. </w:t>
      </w:r>
      <w:r>
        <w:tab/>
        <w:t>Hedges RE, Steven</w:t>
      </w:r>
      <w:r>
        <w:t xml:space="preserve">s RE, Richards MP. Bone as a stable isotope archive for local climatic information. </w:t>
      </w:r>
      <w:r>
        <w:rPr>
          <w:i/>
          <w:iCs/>
        </w:rPr>
        <w:t>Quaternary Science Reviews</w:t>
      </w:r>
      <w:r>
        <w:t>. 2004;23(7-8):959-965.</w:t>
      </w:r>
    </w:p>
    <w:p w14:paraId="73CBC0D3" w14:textId="77777777" w:rsidR="00162DC8" w:rsidRDefault="001F3E15" w:rsidP="00E65910">
      <w:pPr>
        <w:pStyle w:val="Bibliography"/>
        <w:spacing w:line="600" w:lineRule="auto"/>
      </w:pPr>
      <w:bookmarkStart w:id="56" w:name="ref-france2015"/>
      <w:bookmarkEnd w:id="55"/>
      <w:r>
        <w:t xml:space="preserve">24. </w:t>
      </w:r>
      <w:r>
        <w:tab/>
        <w:t xml:space="preserve">France CA, Owsley DW. Stable carbon and oxygen isotope spacing between bone and tooth collagen and hydroxyapatite in </w:t>
      </w:r>
      <w:r>
        <w:t xml:space="preserve">human archaeological remains. </w:t>
      </w:r>
      <w:r>
        <w:rPr>
          <w:i/>
          <w:iCs/>
        </w:rPr>
        <w:t>International Journal of Osteoarchaeology</w:t>
      </w:r>
      <w:r>
        <w:t>. 2015;25(3):299-312.</w:t>
      </w:r>
    </w:p>
    <w:p w14:paraId="6AB15C01" w14:textId="77777777" w:rsidR="00162DC8" w:rsidRDefault="001F3E15" w:rsidP="00E65910">
      <w:pPr>
        <w:pStyle w:val="Bibliography"/>
        <w:spacing w:line="600" w:lineRule="auto"/>
      </w:pPr>
      <w:bookmarkStart w:id="57" w:name="ref-kohn2002"/>
      <w:bookmarkEnd w:id="56"/>
      <w:r>
        <w:t xml:space="preserve">25. </w:t>
      </w:r>
      <w:r>
        <w:tab/>
        <w:t xml:space="preserve">Kohn MJ, Cerling TE. Stable Isotope Compositions Of Biological Apatite. </w:t>
      </w:r>
      <w:r>
        <w:rPr>
          <w:i/>
          <w:iCs/>
        </w:rPr>
        <w:t>Reviews in Mineralogy and Geochemistry</w:t>
      </w:r>
      <w:r>
        <w:t>. 2002;48(1):455-488.</w:t>
      </w:r>
    </w:p>
    <w:p w14:paraId="31238E39" w14:textId="77777777" w:rsidR="00162DC8" w:rsidRDefault="001F3E15" w:rsidP="00E65910">
      <w:pPr>
        <w:pStyle w:val="Bibliography"/>
        <w:spacing w:line="600" w:lineRule="auto"/>
      </w:pPr>
      <w:bookmarkStart w:id="58" w:name="ref-guiry2016"/>
      <w:bookmarkEnd w:id="57"/>
      <w:r>
        <w:t xml:space="preserve">26. </w:t>
      </w:r>
      <w:r>
        <w:tab/>
        <w:t>Guiry EJ, Hepburn JC,</w:t>
      </w:r>
      <w:r>
        <w:t xml:space="preserve"> Richards MP. High-resolution serial sampling for nitrogen stable isotope analysis of archaeological mammal teeth. </w:t>
      </w:r>
      <w:r>
        <w:rPr>
          <w:i/>
          <w:iCs/>
        </w:rPr>
        <w:t>Journal of Archaeological Science</w:t>
      </w:r>
      <w:r>
        <w:t>. 2016;69:21-28.</w:t>
      </w:r>
    </w:p>
    <w:p w14:paraId="3C13DDD9" w14:textId="77777777" w:rsidR="00162DC8" w:rsidRDefault="001F3E15" w:rsidP="00E65910">
      <w:pPr>
        <w:pStyle w:val="Bibliography"/>
        <w:spacing w:line="600" w:lineRule="auto"/>
      </w:pPr>
      <w:bookmarkStart w:id="59" w:name="ref-elliott1985"/>
      <w:bookmarkEnd w:id="58"/>
      <w:r>
        <w:t xml:space="preserve">27. </w:t>
      </w:r>
      <w:r>
        <w:tab/>
        <w:t>Elliott JC, Holcomb DW, Young RA. Infrared Determination Of The Degree Of Substitution</w:t>
      </w:r>
      <w:r>
        <w:t xml:space="preserve"> Of Hydroxyl By Carbonate Ions In Human Dental Enamel. </w:t>
      </w:r>
      <w:r>
        <w:rPr>
          <w:i/>
          <w:iCs/>
        </w:rPr>
        <w:t>Calcified tissue international</w:t>
      </w:r>
      <w:r>
        <w:t>. 1985;37(4):372-375.</w:t>
      </w:r>
    </w:p>
    <w:p w14:paraId="6132B010" w14:textId="77777777" w:rsidR="00162DC8" w:rsidRDefault="001F3E15" w:rsidP="00E65910">
      <w:pPr>
        <w:pStyle w:val="Bibliography"/>
        <w:spacing w:line="600" w:lineRule="auto"/>
      </w:pPr>
      <w:bookmarkStart w:id="60" w:name="ref-elliott2002"/>
      <w:bookmarkEnd w:id="59"/>
      <w:r>
        <w:t xml:space="preserve">28. </w:t>
      </w:r>
      <w:r>
        <w:tab/>
        <w:t xml:space="preserve">Elliott JC. Calcium Phosphate Biominerals. </w:t>
      </w:r>
      <w:r>
        <w:rPr>
          <w:i/>
          <w:iCs/>
        </w:rPr>
        <w:t>Reviews in Mineralogy and Geochemistry</w:t>
      </w:r>
      <w:r>
        <w:t>. 2002;48(1):427-453.</w:t>
      </w:r>
    </w:p>
    <w:p w14:paraId="709934AB" w14:textId="77777777" w:rsidR="00162DC8" w:rsidRDefault="001F3E15" w:rsidP="00E65910">
      <w:pPr>
        <w:pStyle w:val="Bibliography"/>
        <w:spacing w:line="600" w:lineRule="auto"/>
      </w:pPr>
      <w:bookmarkStart w:id="61" w:name="ref-driessens1990"/>
      <w:bookmarkEnd w:id="60"/>
      <w:r>
        <w:t xml:space="preserve">29. </w:t>
      </w:r>
      <w:r>
        <w:tab/>
        <w:t xml:space="preserve">Driessens FC, Verbeeck RK. </w:t>
      </w:r>
      <w:r>
        <w:rPr>
          <w:i/>
          <w:iCs/>
        </w:rPr>
        <w:t>Biominera</w:t>
      </w:r>
      <w:r>
        <w:rPr>
          <w:i/>
          <w:iCs/>
        </w:rPr>
        <w:t>ls</w:t>
      </w:r>
      <w:r>
        <w:t>. CRC Press; 1990.</w:t>
      </w:r>
    </w:p>
    <w:p w14:paraId="408682AD" w14:textId="77777777" w:rsidR="00162DC8" w:rsidRDefault="001F3E15" w:rsidP="00E65910">
      <w:pPr>
        <w:pStyle w:val="Bibliography"/>
        <w:spacing w:line="600" w:lineRule="auto"/>
      </w:pPr>
      <w:bookmarkStart w:id="62" w:name="ref-sydney-zax1991"/>
      <w:bookmarkEnd w:id="61"/>
      <w:r>
        <w:t xml:space="preserve">30. </w:t>
      </w:r>
      <w:r>
        <w:tab/>
        <w:t xml:space="preserve">Sydney-Zax M, Mayer I, Deutsch D. Carbonate content in developing human and bovine enamel. </w:t>
      </w:r>
      <w:r>
        <w:rPr>
          <w:i/>
          <w:iCs/>
        </w:rPr>
        <w:t>Journal of dental research</w:t>
      </w:r>
      <w:r>
        <w:t>. 1991;70(5):913-916.</w:t>
      </w:r>
    </w:p>
    <w:p w14:paraId="034FF8C0" w14:textId="77777777" w:rsidR="00162DC8" w:rsidRDefault="001F3E15" w:rsidP="00E65910">
      <w:pPr>
        <w:pStyle w:val="Bibliography"/>
        <w:spacing w:line="600" w:lineRule="auto"/>
      </w:pPr>
      <w:bookmarkStart w:id="63" w:name="ref-zazzo2005"/>
      <w:bookmarkEnd w:id="62"/>
      <w:r>
        <w:t xml:space="preserve">31. </w:t>
      </w:r>
      <w:r>
        <w:tab/>
        <w:t xml:space="preserve">Zazzo A, Balasse M, Patterson WP. High-resolution </w:t>
      </w:r>
      <m:oMath>
        <m:r>
          <w:rPr>
            <w:rFonts w:ascii="Cambria Math" w:hAnsi="Cambria Math"/>
          </w:rPr>
          <m:t>δ</m:t>
        </m:r>
      </m:oMath>
      <w:r>
        <w:rPr>
          <w:vertAlign w:val="superscript"/>
        </w:rPr>
        <w:t>13</w:t>
      </w:r>
      <w:r>
        <w:t xml:space="preserve">C intratooth profiles in bovine </w:t>
      </w:r>
      <w:r>
        <w:t xml:space="preserve">enamel: Implications for mineralization pattern and isotopic attenuation. </w:t>
      </w:r>
      <w:r>
        <w:rPr>
          <w:i/>
          <w:iCs/>
        </w:rPr>
        <w:t>Geochimica et Cosmochimica Acta</w:t>
      </w:r>
      <w:r>
        <w:t>. 2005;69(14):3631-3642.</w:t>
      </w:r>
    </w:p>
    <w:p w14:paraId="2E067F52" w14:textId="77777777" w:rsidR="00162DC8" w:rsidRDefault="001F3E15" w:rsidP="00E65910">
      <w:pPr>
        <w:pStyle w:val="Bibliography"/>
        <w:spacing w:line="600" w:lineRule="auto"/>
      </w:pPr>
      <w:bookmarkStart w:id="64" w:name="ref-vanklinken1999"/>
      <w:bookmarkEnd w:id="63"/>
      <w:r>
        <w:t xml:space="preserve">32. </w:t>
      </w:r>
      <w:r>
        <w:tab/>
        <w:t xml:space="preserve">Van Klinken GJ. Bone collagen quality indicators for palaeodietary and radiocarbon measurements. </w:t>
      </w:r>
      <w:r>
        <w:rPr>
          <w:i/>
          <w:iCs/>
        </w:rPr>
        <w:t>Journal of Archaeologica</w:t>
      </w:r>
      <w:r>
        <w:rPr>
          <w:i/>
          <w:iCs/>
        </w:rPr>
        <w:t>l Science</w:t>
      </w:r>
      <w:r>
        <w:t>. 1999;26(6):687-695.</w:t>
      </w:r>
    </w:p>
    <w:p w14:paraId="4A4F2EA7" w14:textId="77777777" w:rsidR="00162DC8" w:rsidRDefault="001F3E15" w:rsidP="00E65910">
      <w:pPr>
        <w:pStyle w:val="Bibliography"/>
        <w:spacing w:line="600" w:lineRule="auto"/>
      </w:pPr>
      <w:bookmarkStart w:id="65" w:name="ref-rosenberg2013"/>
      <w:bookmarkEnd w:id="64"/>
      <w:r>
        <w:t xml:space="preserve">33. </w:t>
      </w:r>
      <w:r>
        <w:tab/>
        <w:t xml:space="preserve">Rosenberg IM. </w:t>
      </w:r>
      <w:r>
        <w:rPr>
          <w:i/>
          <w:iCs/>
        </w:rPr>
        <w:t>Protein Analysis and Purification: Benchtop Techniques</w:t>
      </w:r>
      <w:r>
        <w:t>. Springer Science &amp; Business Media; 2013.</w:t>
      </w:r>
    </w:p>
    <w:p w14:paraId="5ABDA08C" w14:textId="77777777" w:rsidR="00162DC8" w:rsidRDefault="001F3E15" w:rsidP="00E65910">
      <w:pPr>
        <w:pStyle w:val="Bibliography"/>
        <w:spacing w:line="600" w:lineRule="auto"/>
      </w:pPr>
      <w:bookmarkStart w:id="66" w:name="ref-hankermeyer2002"/>
      <w:bookmarkEnd w:id="65"/>
      <w:r>
        <w:t xml:space="preserve">34. </w:t>
      </w:r>
      <w:r>
        <w:tab/>
        <w:t>Hankermeyer CR, Ohashi KL, Delaney DC, Ross J, Constantz BR. Dissolution rates of carbonated hydroxyapat</w:t>
      </w:r>
      <w:r>
        <w:t xml:space="preserve">ite in hydrochloric acid. </w:t>
      </w:r>
      <w:r>
        <w:rPr>
          <w:i/>
          <w:iCs/>
        </w:rPr>
        <w:t>Biomaterials</w:t>
      </w:r>
      <w:r>
        <w:t>. 2002;23(3):743-750.</w:t>
      </w:r>
    </w:p>
    <w:p w14:paraId="37C4F992" w14:textId="77777777" w:rsidR="00162DC8" w:rsidRDefault="001F3E15" w:rsidP="00E65910">
      <w:pPr>
        <w:pStyle w:val="Bibliography"/>
        <w:spacing w:line="600" w:lineRule="auto"/>
      </w:pPr>
      <w:bookmarkStart w:id="67" w:name="ref-brown1988"/>
      <w:bookmarkEnd w:id="66"/>
      <w:r>
        <w:t xml:space="preserve">35. </w:t>
      </w:r>
      <w:r>
        <w:tab/>
        <w:t xml:space="preserve">Brown TA, Nelson DE, Vogel JS, Southon JR. Improved collagen extraction by modified Longin method. </w:t>
      </w:r>
      <w:r>
        <w:rPr>
          <w:i/>
          <w:iCs/>
        </w:rPr>
        <w:t>Radiocarbon</w:t>
      </w:r>
      <w:r>
        <w:t>. 1988;30(2):171-177.</w:t>
      </w:r>
    </w:p>
    <w:p w14:paraId="1AA7204C" w14:textId="77777777" w:rsidR="00162DC8" w:rsidRDefault="001F3E15" w:rsidP="00E65910">
      <w:pPr>
        <w:pStyle w:val="Bibliography"/>
        <w:spacing w:line="600" w:lineRule="auto"/>
      </w:pPr>
      <w:bookmarkStart w:id="68" w:name="ref-beaumont2013"/>
      <w:bookmarkEnd w:id="67"/>
      <w:r>
        <w:t xml:space="preserve">36. </w:t>
      </w:r>
      <w:r>
        <w:tab/>
      </w:r>
      <w:r>
        <w:t xml:space="preserve">Beaumont J, Gledhill A, Lee-Thorp J, Montgomery J. Childhood diet: A closer examination of the evidence from dental tissues using stable isotope analysis of incremental human dentine. </w:t>
      </w:r>
      <w:r>
        <w:rPr>
          <w:i/>
          <w:iCs/>
        </w:rPr>
        <w:t>Archaeometry</w:t>
      </w:r>
      <w:r>
        <w:t>. 2013;55(2):277-295.</w:t>
      </w:r>
    </w:p>
    <w:p w14:paraId="188EB750" w14:textId="77777777" w:rsidR="00162DC8" w:rsidRDefault="001F3E15" w:rsidP="00E65910">
      <w:pPr>
        <w:pStyle w:val="Bibliography"/>
        <w:spacing w:line="600" w:lineRule="auto"/>
      </w:pPr>
      <w:bookmarkStart w:id="69" w:name="ref-pestle2014"/>
      <w:bookmarkEnd w:id="68"/>
      <w:r>
        <w:t xml:space="preserve">37. </w:t>
      </w:r>
      <w:r>
        <w:tab/>
        <w:t>Pestle WJ, Crowley BE, Weirauch M</w:t>
      </w:r>
      <w:r>
        <w:t xml:space="preserve">T. Quantifying inter-laboratory variability in stable isotope analysis of ancient skeletal remains. </w:t>
      </w:r>
      <w:r>
        <w:rPr>
          <w:i/>
          <w:iCs/>
        </w:rPr>
        <w:t>PLoS one</w:t>
      </w:r>
      <w:r>
        <w:t>. 2014;9(7):e102844.</w:t>
      </w:r>
    </w:p>
    <w:p w14:paraId="361B3847" w14:textId="77777777" w:rsidR="00162DC8" w:rsidRDefault="001F3E15" w:rsidP="00E65910">
      <w:pPr>
        <w:pStyle w:val="Bibliography"/>
        <w:spacing w:line="600" w:lineRule="auto"/>
      </w:pPr>
      <w:bookmarkStart w:id="70" w:name="ref-guiry2020"/>
      <w:bookmarkEnd w:id="69"/>
      <w:r>
        <w:t xml:space="preserve">38. </w:t>
      </w:r>
      <w:r>
        <w:tab/>
        <w:t xml:space="preserve">Guiry EJ, Szpak P. Quality control for modern bone collagen stable carbon and nitrogen isotope measurements. </w:t>
      </w:r>
      <w:r>
        <w:rPr>
          <w:i/>
          <w:iCs/>
        </w:rPr>
        <w:t>Methods in Ec</w:t>
      </w:r>
      <w:r>
        <w:rPr>
          <w:i/>
          <w:iCs/>
        </w:rPr>
        <w:t>ology and Evolution</w:t>
      </w:r>
      <w:r>
        <w:t>. 2020;11(9):1049-1060.</w:t>
      </w:r>
    </w:p>
    <w:p w14:paraId="4D4AC8D2" w14:textId="77777777" w:rsidR="00162DC8" w:rsidRDefault="001F3E15" w:rsidP="00E65910">
      <w:pPr>
        <w:pStyle w:val="Bibliography"/>
        <w:spacing w:line="600" w:lineRule="auto"/>
      </w:pPr>
      <w:bookmarkStart w:id="71" w:name="ref-guiry2021"/>
      <w:bookmarkEnd w:id="70"/>
      <w:r>
        <w:t xml:space="preserve">39. </w:t>
      </w:r>
      <w:r>
        <w:tab/>
        <w:t xml:space="preserve">Guiry EJ, Szpak P. Improved quality control criteria for stable carbon and nitrogen isotope measurements of ancient bone collagen. </w:t>
      </w:r>
      <w:r>
        <w:rPr>
          <w:i/>
          <w:iCs/>
        </w:rPr>
        <w:t>Journal of Archaeological Science</w:t>
      </w:r>
      <w:r>
        <w:t>. 2021;132:105416.</w:t>
      </w:r>
    </w:p>
    <w:p w14:paraId="4906EFA3" w14:textId="77777777" w:rsidR="00162DC8" w:rsidRDefault="001F3E15" w:rsidP="00E65910">
      <w:pPr>
        <w:pStyle w:val="Bibliography"/>
        <w:spacing w:line="600" w:lineRule="auto"/>
      </w:pPr>
      <w:bookmarkStart w:id="72" w:name="ref-liden1995"/>
      <w:bookmarkEnd w:id="71"/>
      <w:r>
        <w:t xml:space="preserve">40. </w:t>
      </w:r>
      <w:r>
        <w:tab/>
        <w:t>Liden K, Takahashi C</w:t>
      </w:r>
      <w:r>
        <w:t xml:space="preserve">, Nelson DE. The effects of lipids in stable carbon isotope analysis and the effects of NaOH treatment on the composition of extracted bone collagen. </w:t>
      </w:r>
      <w:r>
        <w:rPr>
          <w:i/>
          <w:iCs/>
        </w:rPr>
        <w:t>Journal of archaeological science</w:t>
      </w:r>
      <w:r>
        <w:t>. 1995;22(2):321-326.</w:t>
      </w:r>
    </w:p>
    <w:p w14:paraId="2A2427C4" w14:textId="77777777" w:rsidR="00162DC8" w:rsidRDefault="001F3E15" w:rsidP="00E65910">
      <w:pPr>
        <w:pStyle w:val="Bibliography"/>
        <w:spacing w:line="600" w:lineRule="auto"/>
      </w:pPr>
      <w:bookmarkStart w:id="73" w:name="ref-deniro1985"/>
      <w:bookmarkEnd w:id="72"/>
      <w:r>
        <w:t xml:space="preserve">41. </w:t>
      </w:r>
      <w:r>
        <w:tab/>
        <w:t>DeNiro MJ. Postmortem preservation and alterat</w:t>
      </w:r>
      <w:r>
        <w:t xml:space="preserve">ion of in vivo bone collagen isotope ratios in relation to palaeodietary reconstruction. </w:t>
      </w:r>
      <w:r>
        <w:rPr>
          <w:i/>
          <w:iCs/>
        </w:rPr>
        <w:t>Nature</w:t>
      </w:r>
      <w:r>
        <w:t>. 1985;317(6040):806-809.</w:t>
      </w:r>
    </w:p>
    <w:p w14:paraId="48166517" w14:textId="77777777" w:rsidR="00162DC8" w:rsidRDefault="001F3E15" w:rsidP="00E65910">
      <w:pPr>
        <w:pStyle w:val="Bibliography"/>
        <w:spacing w:line="600" w:lineRule="auto"/>
      </w:pPr>
      <w:bookmarkStart w:id="74" w:name="ref-stuart2004"/>
      <w:bookmarkEnd w:id="73"/>
      <w:r>
        <w:t xml:space="preserve">42. </w:t>
      </w:r>
      <w:r>
        <w:tab/>
        <w:t xml:space="preserve">Stuart BH. </w:t>
      </w:r>
      <w:r>
        <w:rPr>
          <w:i/>
          <w:iCs/>
        </w:rPr>
        <w:t>Infrared Spectroscopy: Fundamentals and Applications</w:t>
      </w:r>
      <w:r>
        <w:t>. John Wiley &amp; Sons; 2004.</w:t>
      </w:r>
    </w:p>
    <w:p w14:paraId="1E3109DC" w14:textId="77777777" w:rsidR="00162DC8" w:rsidRDefault="001F3E15" w:rsidP="00E65910">
      <w:pPr>
        <w:pStyle w:val="Bibliography"/>
        <w:spacing w:line="600" w:lineRule="auto"/>
      </w:pPr>
      <w:bookmarkStart w:id="75" w:name="ref-botta2012"/>
      <w:bookmarkEnd w:id="74"/>
      <w:r>
        <w:t xml:space="preserve">43. </w:t>
      </w:r>
      <w:r>
        <w:tab/>
        <w:t>Botta SB, Ana PA, Santos MO, Zezell</w:t>
      </w:r>
      <w:r>
        <w:t xml:space="preserve"> DM, Matos AB. Effect of dental tissue conditioners and matrix metalloproteinase inhibitors on type I collagen microstructure analyzed by Fourier transform infrared spectroscopy. </w:t>
      </w:r>
      <w:r>
        <w:rPr>
          <w:i/>
          <w:iCs/>
        </w:rPr>
        <w:t>Journal of Biomedical Materials Research Part B: Applied Biomaterials</w:t>
      </w:r>
      <w:r>
        <w:t>. 2012;1</w:t>
      </w:r>
      <w:r>
        <w:t>00(4):1009-1016.</w:t>
      </w:r>
    </w:p>
    <w:p w14:paraId="5A5402FB" w14:textId="77777777" w:rsidR="00162DC8" w:rsidRDefault="001F3E15" w:rsidP="00E65910">
      <w:pPr>
        <w:pStyle w:val="Bibliography"/>
        <w:spacing w:line="600" w:lineRule="auto"/>
      </w:pPr>
      <w:bookmarkStart w:id="76" w:name="ref-legeros1991"/>
      <w:bookmarkEnd w:id="75"/>
      <w:r>
        <w:t xml:space="preserve">44. </w:t>
      </w:r>
      <w:r>
        <w:tab/>
        <w:t xml:space="preserve">LeGeros RZ. Calcium Phosphates in Oral Biology and Medicine. In: Myers H, ed. </w:t>
      </w:r>
      <w:r>
        <w:rPr>
          <w:i/>
          <w:iCs/>
        </w:rPr>
        <w:t>Monographs in Oral Science</w:t>
      </w:r>
      <w:r>
        <w:t>. Vol 15. Karger, Basel; 1991.</w:t>
      </w:r>
    </w:p>
    <w:p w14:paraId="64032AA7" w14:textId="77777777" w:rsidR="00162DC8" w:rsidRDefault="001F3E15" w:rsidP="00E65910">
      <w:pPr>
        <w:pStyle w:val="Bibliography"/>
        <w:spacing w:line="600" w:lineRule="auto"/>
      </w:pPr>
      <w:bookmarkStart w:id="77" w:name="ref-rey1991"/>
      <w:bookmarkEnd w:id="76"/>
      <w:r>
        <w:t xml:space="preserve">45. </w:t>
      </w:r>
      <w:r>
        <w:tab/>
        <w:t xml:space="preserve">Rey C, Renugopalakrishnan V, Shimizu M, Collins B, Glimcher MJ. A resolution-enhanced Fourier </w:t>
      </w:r>
      <w:r>
        <w:t xml:space="preserve">transform infrared spectroscopic study of the environment of the CO32- ion in the mineral phase of enamel during its formation and maturation. </w:t>
      </w:r>
      <w:r>
        <w:rPr>
          <w:i/>
          <w:iCs/>
        </w:rPr>
        <w:t>Calcified tissue international</w:t>
      </w:r>
      <w:r>
        <w:t>. 1991;49(4):259-268.</w:t>
      </w:r>
    </w:p>
    <w:p w14:paraId="68882FD8" w14:textId="77777777" w:rsidR="00162DC8" w:rsidRDefault="001F3E15" w:rsidP="00E65910">
      <w:pPr>
        <w:pStyle w:val="Bibliography"/>
        <w:spacing w:line="600" w:lineRule="auto"/>
      </w:pPr>
      <w:bookmarkStart w:id="78" w:name="ref-grunenwald2014"/>
      <w:bookmarkEnd w:id="77"/>
      <w:r>
        <w:t xml:space="preserve">46. </w:t>
      </w:r>
      <w:r>
        <w:tab/>
        <w:t>Grunenwald A, Keyser C, Sautereau AM, Crubézy E, Ludes B</w:t>
      </w:r>
      <w:r>
        <w:t xml:space="preserve">, Drouet C. Revisiting carbonate quantification in apatite (bio) minerals: A validated FTIR methodology. </w:t>
      </w:r>
      <w:r>
        <w:rPr>
          <w:i/>
          <w:iCs/>
        </w:rPr>
        <w:t>Journal of Archaeological Science</w:t>
      </w:r>
      <w:r>
        <w:t>. 2014;49:134-141.</w:t>
      </w:r>
    </w:p>
    <w:p w14:paraId="4BA04FE1" w14:textId="77777777" w:rsidR="00162DC8" w:rsidRDefault="001F3E15" w:rsidP="00E65910">
      <w:pPr>
        <w:pStyle w:val="Bibliography"/>
        <w:spacing w:line="600" w:lineRule="auto"/>
      </w:pPr>
      <w:bookmarkStart w:id="79" w:name="ref-roche2010"/>
      <w:bookmarkEnd w:id="78"/>
      <w:r>
        <w:t xml:space="preserve">47. </w:t>
      </w:r>
      <w:r>
        <w:tab/>
        <w:t>Roche D, Ségalen L, Balan E, Delattre S. Preservation Assessment Of Miocene (Kenyan Rift Valle</w:t>
      </w:r>
      <w:r>
        <w:t xml:space="preserve">y) Through FTIR, Chemical And Stable-Isotope Analyses. </w:t>
      </w:r>
      <w:r>
        <w:rPr>
          <w:i/>
          <w:iCs/>
        </w:rPr>
        <w:t>Journal of Archaeological Science</w:t>
      </w:r>
      <w:r>
        <w:t>. 2010;37(7):1690-1699. doi:</w:t>
      </w:r>
      <w:hyperlink r:id="rId13">
        <w:r>
          <w:rPr>
            <w:rStyle w:val="Hyperlink"/>
          </w:rPr>
          <w:t>10.1016/j.jas.2010.01.029</w:t>
        </w:r>
      </w:hyperlink>
    </w:p>
    <w:p w14:paraId="60253F7B" w14:textId="77777777" w:rsidR="00162DC8" w:rsidRDefault="001F3E15" w:rsidP="00E65910">
      <w:pPr>
        <w:pStyle w:val="Bibliography"/>
        <w:spacing w:line="600" w:lineRule="auto"/>
      </w:pPr>
      <w:bookmarkStart w:id="80" w:name="ref-sponheimer1999"/>
      <w:bookmarkEnd w:id="79"/>
      <w:r>
        <w:t xml:space="preserve">48. </w:t>
      </w:r>
      <w:r>
        <w:tab/>
        <w:t>Sponheimer M, Lee-Thorp JA. Alteration of enamel</w:t>
      </w:r>
      <w:r>
        <w:t xml:space="preserve"> carbonate environments during fossilization. </w:t>
      </w:r>
      <w:r>
        <w:rPr>
          <w:i/>
          <w:iCs/>
        </w:rPr>
        <w:t>Journal of Archaeological Science</w:t>
      </w:r>
      <w:r>
        <w:t>. 1999;26(2):143-150.</w:t>
      </w:r>
    </w:p>
    <w:p w14:paraId="10013C3C" w14:textId="77777777" w:rsidR="00162DC8" w:rsidRDefault="001F3E15" w:rsidP="00E65910">
      <w:pPr>
        <w:pStyle w:val="Bibliography"/>
        <w:spacing w:line="600" w:lineRule="auto"/>
      </w:pPr>
      <w:bookmarkStart w:id="81" w:name="ref-hassan1977"/>
      <w:bookmarkEnd w:id="80"/>
      <w:r>
        <w:t xml:space="preserve">49. </w:t>
      </w:r>
      <w:r>
        <w:tab/>
        <w:t xml:space="preserve">Hassan AA, Termine JD, Haynes CV. Mineralogical studies on bone apatite and their implications for radiocarbon dating. </w:t>
      </w:r>
      <w:r>
        <w:rPr>
          <w:i/>
          <w:iCs/>
        </w:rPr>
        <w:t>Radiocarbon</w:t>
      </w:r>
      <w:r>
        <w:t>. 1977;19(3):364-374</w:t>
      </w:r>
      <w:r>
        <w:t>.</w:t>
      </w:r>
    </w:p>
    <w:p w14:paraId="1A708884" w14:textId="77777777" w:rsidR="00162DC8" w:rsidRDefault="001F3E15" w:rsidP="00E65910">
      <w:pPr>
        <w:pStyle w:val="Bibliography"/>
        <w:spacing w:line="600" w:lineRule="auto"/>
      </w:pPr>
      <w:bookmarkStart w:id="82" w:name="ref-sonjuclasen1997"/>
      <w:bookmarkEnd w:id="81"/>
      <w:r>
        <w:t xml:space="preserve">50. </w:t>
      </w:r>
      <w:r>
        <w:tab/>
        <w:t xml:space="preserve">Sønju Clasen AB, Ruyter IE. Quantitative Determination Of Type A And Type B Carbonate In Human Deciduous And Permanent Enamel By Means Of Fourier Transform Infrared Spectrometry. </w:t>
      </w:r>
      <w:r>
        <w:rPr>
          <w:i/>
          <w:iCs/>
        </w:rPr>
        <w:t>Advances in dental research</w:t>
      </w:r>
      <w:r>
        <w:t>. 1997;11(4):523-527.</w:t>
      </w:r>
    </w:p>
    <w:p w14:paraId="6A31E4B3" w14:textId="77777777" w:rsidR="00162DC8" w:rsidRDefault="001F3E15" w:rsidP="00E65910">
      <w:pPr>
        <w:pStyle w:val="Bibliography"/>
        <w:spacing w:line="600" w:lineRule="auto"/>
      </w:pPr>
      <w:bookmarkStart w:id="83" w:name="ref-lebon2016"/>
      <w:bookmarkEnd w:id="82"/>
      <w:r>
        <w:t xml:space="preserve">51. </w:t>
      </w:r>
      <w:r>
        <w:tab/>
        <w:t xml:space="preserve">Lebon M, Reiche </w:t>
      </w:r>
      <w:r>
        <w:t xml:space="preserve">I, Gallet X, Bellot-Gurlet L, Zazzo A. Rapid quantification of bone collagen content by ATR-FTIR spectroscopy. </w:t>
      </w:r>
      <w:r>
        <w:rPr>
          <w:i/>
          <w:iCs/>
        </w:rPr>
        <w:t>Radiocarbon</w:t>
      </w:r>
      <w:r>
        <w:t>. 2016;58(1):131-145.</w:t>
      </w:r>
    </w:p>
    <w:p w14:paraId="171FA270" w14:textId="77777777" w:rsidR="00162DC8" w:rsidRDefault="001F3E15" w:rsidP="00E65910">
      <w:pPr>
        <w:pStyle w:val="Bibliography"/>
        <w:spacing w:line="600" w:lineRule="auto"/>
      </w:pPr>
      <w:bookmarkStart w:id="84" w:name="ref-olcottmarshall2015"/>
      <w:bookmarkEnd w:id="83"/>
      <w:r>
        <w:t xml:space="preserve">52. </w:t>
      </w:r>
      <w:r>
        <w:tab/>
        <w:t xml:space="preserve">Olcott Marshall A, Marshall CP. Vibrational spectroscopy of fossils. </w:t>
      </w:r>
      <w:r>
        <w:rPr>
          <w:i/>
          <w:iCs/>
        </w:rPr>
        <w:t>Palaeontology</w:t>
      </w:r>
      <w:r>
        <w:t>. 2015;58(2):201-211.</w:t>
      </w:r>
    </w:p>
    <w:p w14:paraId="33A75C62" w14:textId="77777777" w:rsidR="00162DC8" w:rsidRDefault="001F3E15" w:rsidP="00E65910">
      <w:pPr>
        <w:pStyle w:val="Bibliography"/>
        <w:spacing w:line="600" w:lineRule="auto"/>
      </w:pPr>
      <w:bookmarkStart w:id="85" w:name="ref-sillen1991"/>
      <w:bookmarkEnd w:id="84"/>
      <w:r>
        <w:t>53.</w:t>
      </w:r>
      <w:r>
        <w:t xml:space="preserve"> </w:t>
      </w:r>
      <w:r>
        <w:tab/>
        <w:t xml:space="preserve">Sillen A, LeGeros R. Solubility profiles of synthetic apatites and of modern and fossil bones. </w:t>
      </w:r>
      <w:r>
        <w:rPr>
          <w:i/>
          <w:iCs/>
        </w:rPr>
        <w:t>Journal of Archaeological Science</w:t>
      </w:r>
      <w:r>
        <w:t>. 1991;18(3):385-397. doi:</w:t>
      </w:r>
      <w:hyperlink r:id="rId14">
        <w:r>
          <w:rPr>
            <w:rStyle w:val="Hyperlink"/>
          </w:rPr>
          <w:t>10.1016/0305-4403(91)90073-X</w:t>
        </w:r>
      </w:hyperlink>
    </w:p>
    <w:p w14:paraId="368FF032" w14:textId="77777777" w:rsidR="00162DC8" w:rsidRDefault="001F3E15" w:rsidP="00E65910">
      <w:pPr>
        <w:pStyle w:val="Bibliography"/>
        <w:spacing w:line="600" w:lineRule="auto"/>
      </w:pPr>
      <w:bookmarkStart w:id="86" w:name="ref-kim2012a"/>
      <w:bookmarkEnd w:id="85"/>
      <w:r>
        <w:t xml:space="preserve">54. </w:t>
      </w:r>
      <w:r>
        <w:tab/>
        <w:t>Ki</w:t>
      </w:r>
      <w:r>
        <w:t xml:space="preserve">m SL, Casper DR, Galván-Magaña F, Ochoa-Díaz R, Hernández-Aguilar SB, Koch PL. Carbon and nitrogen discrimination factors for elasmobranch soft tissues based on a long-term controlled feeding study. </w:t>
      </w:r>
      <w:r>
        <w:rPr>
          <w:i/>
          <w:iCs/>
        </w:rPr>
        <w:t>Environmental Biology of Fishes</w:t>
      </w:r>
      <w:r>
        <w:t>. 2012;95(1):37-52.</w:t>
      </w:r>
    </w:p>
    <w:p w14:paraId="4AFE8AC6" w14:textId="77777777" w:rsidR="00162DC8" w:rsidRDefault="001F3E15" w:rsidP="00E65910">
      <w:pPr>
        <w:pStyle w:val="Bibliography"/>
        <w:spacing w:line="600" w:lineRule="auto"/>
      </w:pPr>
      <w:bookmarkStart w:id="87" w:name="ref-trayler2017"/>
      <w:bookmarkEnd w:id="86"/>
      <w:r>
        <w:t xml:space="preserve">55. </w:t>
      </w:r>
      <w:r>
        <w:tab/>
        <w:t>T</w:t>
      </w:r>
      <w:r>
        <w:t xml:space="preserve">rayler RB, Kohn MJ. Tooth enamel maturation reequilibrates oxygen isotope compositions and supports simple sampling methods. </w:t>
      </w:r>
      <w:r>
        <w:rPr>
          <w:i/>
          <w:iCs/>
        </w:rPr>
        <w:t>Geochimica et Cosmochimica Acta</w:t>
      </w:r>
      <w:r>
        <w:t>. 2017;198:32-47. doi:</w:t>
      </w:r>
      <w:hyperlink r:id="rId15">
        <w:r>
          <w:rPr>
            <w:rStyle w:val="Hyperlink"/>
          </w:rPr>
          <w:t>10.1016/j.gca.201</w:t>
        </w:r>
        <w:r>
          <w:rPr>
            <w:rStyle w:val="Hyperlink"/>
          </w:rPr>
          <w:t>6.10.023</w:t>
        </w:r>
      </w:hyperlink>
    </w:p>
    <w:p w14:paraId="221EBB41" w14:textId="77777777" w:rsidR="00162DC8" w:rsidRDefault="001F3E15" w:rsidP="00E65910">
      <w:pPr>
        <w:pStyle w:val="Bibliography"/>
        <w:spacing w:line="600" w:lineRule="auto"/>
      </w:pPr>
      <w:bookmarkStart w:id="88" w:name="ref-kohn1998"/>
      <w:bookmarkEnd w:id="87"/>
      <w:r>
        <w:t xml:space="preserve">56. </w:t>
      </w:r>
      <w:r>
        <w:tab/>
      </w:r>
      <w:r>
        <w:t xml:space="preserve">Kohn MJ, Schoeninger MJ, Valley JW. Variability in oxygen isotope compositions of herbivore teeth: Reflections of seasonality or developmental physiology? </w:t>
      </w:r>
      <w:r>
        <w:rPr>
          <w:i/>
          <w:iCs/>
        </w:rPr>
        <w:t>Chemical Geology</w:t>
      </w:r>
      <w:r>
        <w:t>. 1998;152(1):97-112.</w:t>
      </w:r>
    </w:p>
    <w:p w14:paraId="1002609E" w14:textId="77777777" w:rsidR="00162DC8" w:rsidRDefault="001F3E15" w:rsidP="00E65910">
      <w:pPr>
        <w:pStyle w:val="Bibliography"/>
        <w:spacing w:line="600" w:lineRule="auto"/>
      </w:pPr>
      <w:bookmarkStart w:id="89" w:name="ref-shipley2021"/>
      <w:bookmarkEnd w:id="88"/>
      <w:r>
        <w:t xml:space="preserve">57. </w:t>
      </w:r>
      <w:r>
        <w:tab/>
        <w:t xml:space="preserve">Shipley ON, Henkes GA, Gelsleichter J, et al. Shark tooth </w:t>
      </w:r>
      <w:r>
        <w:t>collagen stable isotopes (</w:t>
      </w:r>
      <m:oMath>
        <m:r>
          <w:rPr>
            <w:rFonts w:ascii="Cambria Math" w:hAnsi="Cambria Math"/>
          </w:rPr>
          <m:t>δ</m:t>
        </m:r>
      </m:oMath>
      <w:r>
        <w:t xml:space="preserve">15N and </w:t>
      </w:r>
      <m:oMath>
        <m:r>
          <w:rPr>
            <w:rFonts w:ascii="Cambria Math" w:hAnsi="Cambria Math"/>
          </w:rPr>
          <m:t>δ</m:t>
        </m:r>
      </m:oMath>
      <w:r>
        <w:t xml:space="preserve">13C) as ecological proxies. </w:t>
      </w:r>
      <w:r>
        <w:rPr>
          <w:i/>
          <w:iCs/>
        </w:rPr>
        <w:t>Journal of Animal Ecology</w:t>
      </w:r>
      <w:r>
        <w:t>. 2021;90(9):2188-2201.</w:t>
      </w:r>
    </w:p>
    <w:p w14:paraId="4641431F" w14:textId="77777777" w:rsidR="00162DC8" w:rsidRDefault="001F3E15" w:rsidP="00E65910">
      <w:pPr>
        <w:pStyle w:val="Bibliography"/>
        <w:spacing w:line="600" w:lineRule="auto"/>
      </w:pPr>
      <w:bookmarkStart w:id="90" w:name="ref-rcoreteam2021"/>
      <w:bookmarkEnd w:id="89"/>
      <w:r>
        <w:t xml:space="preserve">58. </w:t>
      </w:r>
      <w:r>
        <w:tab/>
        <w:t>R Core Team. R: A Language and Environment for Statistical Computing. Published online 2021.</w:t>
      </w:r>
    </w:p>
    <w:p w14:paraId="50B8DF2B" w14:textId="77777777" w:rsidR="00162DC8" w:rsidRDefault="001F3E15" w:rsidP="00E65910">
      <w:pPr>
        <w:pStyle w:val="Bibliography"/>
        <w:spacing w:line="600" w:lineRule="auto"/>
      </w:pPr>
      <w:bookmarkStart w:id="91" w:name="ref-phillips2012"/>
      <w:bookmarkEnd w:id="90"/>
      <w:r>
        <w:t xml:space="preserve">59. </w:t>
      </w:r>
      <w:r>
        <w:tab/>
        <w:t>Phillips DL. Converting isotope values</w:t>
      </w:r>
      <w:r>
        <w:t xml:space="preserve"> to diet composition: The use of mixing models. </w:t>
      </w:r>
      <w:r>
        <w:rPr>
          <w:i/>
          <w:iCs/>
        </w:rPr>
        <w:t>Journal of Mammalogy</w:t>
      </w:r>
      <w:r>
        <w:t>. 2012;93(2):342-352. doi:</w:t>
      </w:r>
      <w:hyperlink r:id="rId16">
        <w:r>
          <w:rPr>
            <w:rStyle w:val="Hyperlink"/>
          </w:rPr>
          <w:t>10.1644/11-mamm-s-158.1</w:t>
        </w:r>
      </w:hyperlink>
    </w:p>
    <w:p w14:paraId="5F564578" w14:textId="77777777" w:rsidR="00162DC8" w:rsidRDefault="001F3E15" w:rsidP="00E65910">
      <w:pPr>
        <w:pStyle w:val="Bibliography"/>
        <w:spacing w:line="600" w:lineRule="auto"/>
      </w:pPr>
      <w:bookmarkStart w:id="92" w:name="ref-kohn2010"/>
      <w:bookmarkEnd w:id="91"/>
      <w:r>
        <w:t xml:space="preserve">60. </w:t>
      </w:r>
      <w:r>
        <w:tab/>
        <w:t>Kohn MJ. Carbon Isotope Composition of Terrestrial C</w:t>
      </w:r>
      <w:r>
        <w:rPr>
          <w:vertAlign w:val="subscript"/>
        </w:rPr>
        <w:t>3</w:t>
      </w:r>
      <w:r>
        <w:t xml:space="preserve"> Plants as Indicators</w:t>
      </w:r>
      <w:r>
        <w:t xml:space="preserve"> of (Paleo)Ecology and (Paleo)Climate. </w:t>
      </w:r>
      <w:r>
        <w:rPr>
          <w:i/>
          <w:iCs/>
        </w:rPr>
        <w:t>Proceedings of the National Academy of Sciences</w:t>
      </w:r>
      <w:r>
        <w:t>. 2010;107.46.</w:t>
      </w:r>
    </w:p>
    <w:p w14:paraId="0BB3E610" w14:textId="77777777" w:rsidR="00162DC8" w:rsidRDefault="001F3E15" w:rsidP="00E65910">
      <w:pPr>
        <w:pStyle w:val="Bibliography"/>
        <w:spacing w:line="600" w:lineRule="auto"/>
      </w:pPr>
      <w:bookmarkStart w:id="93" w:name="ref-vennemann2001"/>
      <w:bookmarkEnd w:id="92"/>
      <w:r>
        <w:t xml:space="preserve">61. </w:t>
      </w:r>
      <w:r>
        <w:tab/>
        <w:t xml:space="preserve">Vennemann T, Hegner E, Cliff G, Benz G. Isotopic composition of recent shark teeth as a proxy for environmental conditions. </w:t>
      </w:r>
      <w:r>
        <w:rPr>
          <w:i/>
          <w:iCs/>
        </w:rPr>
        <w:t>Geochimica et Cosmochimica</w:t>
      </w:r>
      <w:r>
        <w:rPr>
          <w:i/>
          <w:iCs/>
        </w:rPr>
        <w:t xml:space="preserve"> Acta</w:t>
      </w:r>
      <w:r>
        <w:t>. 2001;65(10):1583-1599.</w:t>
      </w:r>
    </w:p>
    <w:p w14:paraId="0F8DA2A5" w14:textId="77777777" w:rsidR="00162DC8" w:rsidRDefault="001F3E15" w:rsidP="00E65910">
      <w:pPr>
        <w:pStyle w:val="Bibliography"/>
        <w:spacing w:line="600" w:lineRule="auto"/>
      </w:pPr>
      <w:bookmarkStart w:id="94" w:name="ref-posner1984"/>
      <w:bookmarkEnd w:id="93"/>
      <w:r>
        <w:t xml:space="preserve">62. </w:t>
      </w:r>
      <w:r>
        <w:tab/>
        <w:t xml:space="preserve">Posner AS, Blumenthal NC, Betts F. Chemistry and structure of precipitated hydroxyapatites. In: </w:t>
      </w:r>
      <w:r>
        <w:rPr>
          <w:i/>
          <w:iCs/>
        </w:rPr>
        <w:t>Phosphate Minerals</w:t>
      </w:r>
      <w:r>
        <w:t>. Springer; 1984:330-350.</w:t>
      </w:r>
      <w:bookmarkEnd w:id="31"/>
      <w:bookmarkEnd w:id="33"/>
      <w:bookmarkEnd w:id="94"/>
    </w:p>
    <w:sectPr w:rsidR="00162DC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D678A" w14:textId="77777777" w:rsidR="001F3E15" w:rsidRDefault="001F3E15">
      <w:pPr>
        <w:spacing w:after="0"/>
      </w:pPr>
      <w:r>
        <w:separator/>
      </w:r>
    </w:p>
  </w:endnote>
  <w:endnote w:type="continuationSeparator" w:id="0">
    <w:p w14:paraId="4C535ADF" w14:textId="77777777" w:rsidR="001F3E15" w:rsidRDefault="001F3E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2BDE9" w14:textId="77777777" w:rsidR="001F3E15" w:rsidRDefault="001F3E15">
      <w:r>
        <w:separator/>
      </w:r>
    </w:p>
  </w:footnote>
  <w:footnote w:type="continuationSeparator" w:id="0">
    <w:p w14:paraId="3449BA4A" w14:textId="77777777" w:rsidR="001F3E15" w:rsidRDefault="001F3E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7DE64A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5B04169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97A4109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9FE489C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C4C266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FD7287D4"/>
    <w:lvl w:ilvl="0">
      <w:start w:val="1"/>
      <w:numFmt w:val="bullet"/>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60503EE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3EEB83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993C392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19B2301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45817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81B21B0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2C1AE401"/>
    <w:multiLevelType w:val="multilevel"/>
    <w:tmpl w:val="6B2029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245723252">
    <w:abstractNumId w:val="12"/>
  </w:num>
  <w:num w:numId="2" w16cid:durableId="1017658263">
    <w:abstractNumId w:val="0"/>
  </w:num>
  <w:num w:numId="3" w16cid:durableId="876890665">
    <w:abstractNumId w:val="0"/>
  </w:num>
  <w:num w:numId="4" w16cid:durableId="930043220">
    <w:abstractNumId w:val="1"/>
  </w:num>
  <w:num w:numId="5" w16cid:durableId="492767701">
    <w:abstractNumId w:val="2"/>
  </w:num>
  <w:num w:numId="6" w16cid:durableId="1213731025">
    <w:abstractNumId w:val="3"/>
  </w:num>
  <w:num w:numId="7" w16cid:durableId="776801333">
    <w:abstractNumId w:val="4"/>
  </w:num>
  <w:num w:numId="8" w16cid:durableId="315114010">
    <w:abstractNumId w:val="9"/>
  </w:num>
  <w:num w:numId="9" w16cid:durableId="941112968">
    <w:abstractNumId w:val="5"/>
  </w:num>
  <w:num w:numId="10" w16cid:durableId="1368333651">
    <w:abstractNumId w:val="6"/>
  </w:num>
  <w:num w:numId="11" w16cid:durableId="2131389899">
    <w:abstractNumId w:val="7"/>
  </w:num>
  <w:num w:numId="12" w16cid:durableId="1226067407">
    <w:abstractNumId w:val="8"/>
  </w:num>
  <w:num w:numId="13" w16cid:durableId="144664405">
    <w:abstractNumId w:val="10"/>
  </w:num>
  <w:num w:numId="14" w16cid:durableId="1553389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62DC8"/>
    <w:rsid w:val="00162DC8"/>
    <w:rsid w:val="001F3E15"/>
    <w:rsid w:val="00E6591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7F1DABA"/>
  <w15:docId w15:val="{9B267155-3331-364C-80ED-CEC59C147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CB530E"/>
    <w:pPr>
      <w:jc w:val="both"/>
    </w:pPr>
    <w:rPr>
      <w:rFonts w:ascii="Helvetica" w:hAnsi="Helvetica"/>
      <w:sz w:val="22"/>
    </w:rPr>
  </w:style>
  <w:style w:type="paragraph" w:styleId="Heading1">
    <w:name w:val="heading 1"/>
    <w:basedOn w:val="Normal"/>
    <w:next w:val="BodyText"/>
    <w:autoRedefine/>
    <w:uiPriority w:val="9"/>
    <w:qFormat/>
    <w:rsid w:val="00CB530E"/>
    <w:pPr>
      <w:keepNext/>
      <w:keepLines/>
      <w:spacing w:before="480" w:after="0"/>
      <w:outlineLvl w:val="0"/>
    </w:pPr>
    <w:rPr>
      <w:rFonts w:eastAsiaTheme="majorEastAsia" w:cstheme="majorBidi"/>
      <w:b/>
      <w:bCs/>
      <w:color w:val="000000" w:themeColor="text1"/>
      <w:sz w:val="28"/>
      <w:szCs w:val="32"/>
    </w:rPr>
  </w:style>
  <w:style w:type="paragraph" w:styleId="Heading2">
    <w:name w:val="heading 2"/>
    <w:basedOn w:val="Normal"/>
    <w:next w:val="BodyText"/>
    <w:uiPriority w:val="9"/>
    <w:unhideWhenUsed/>
    <w:qFormat/>
    <w:rsid w:val="00CB530E"/>
    <w:pPr>
      <w:keepNext/>
      <w:keepLines/>
      <w:spacing w:before="200" w:after="0"/>
      <w:outlineLvl w:val="1"/>
    </w:pPr>
    <w:rPr>
      <w:rFonts w:eastAsiaTheme="majorEastAsia" w:cstheme="majorBidi"/>
      <w:b/>
      <w:bCs/>
      <w:szCs w:val="28"/>
    </w:rPr>
  </w:style>
  <w:style w:type="paragraph" w:styleId="Heading3">
    <w:name w:val="heading 3"/>
    <w:basedOn w:val="Normal"/>
    <w:next w:val="BodyText"/>
    <w:uiPriority w:val="9"/>
    <w:unhideWhenUsed/>
    <w:qFormat/>
    <w:rsid w:val="00CB530E"/>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B530E"/>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autoRedefine/>
    <w:qFormat/>
    <w:rsid w:val="00CB530E"/>
    <w:pPr>
      <w:keepNext/>
      <w:keepLines/>
      <w:spacing w:before="480" w:after="240"/>
      <w:jc w:val="center"/>
    </w:pPr>
    <w:rPr>
      <w:rFonts w:eastAsiaTheme="majorEastAsia" w:cstheme="majorBidi"/>
      <w:b/>
      <w:bCs/>
      <w:color w:val="000000" w:themeColor="text1"/>
      <w:sz w:val="32"/>
      <w:szCs w:val="36"/>
    </w:rPr>
  </w:style>
  <w:style w:type="paragraph" w:styleId="Subtitle">
    <w:name w:val="Subtitle"/>
    <w:basedOn w:val="Title"/>
    <w:next w:val="BodyText"/>
    <w:qFormat/>
    <w:rsid w:val="00F3750F"/>
    <w:pPr>
      <w:spacing w:before="240"/>
    </w:pPr>
    <w:rPr>
      <w:sz w:val="28"/>
      <w:szCs w:val="30"/>
    </w:rPr>
  </w:style>
  <w:style w:type="paragraph" w:customStyle="1" w:styleId="Author">
    <w:name w:val="Author"/>
    <w:next w:val="BodyText"/>
    <w:autoRedefine/>
    <w:qFormat/>
    <w:rsid w:val="00CB530E"/>
    <w:pPr>
      <w:keepNext/>
      <w:keepLines/>
      <w:jc w:val="center"/>
    </w:pPr>
    <w:rPr>
      <w:rFonts w:ascii="Helvetica" w:hAnsi="Helvetica"/>
      <w:sz w:val="22"/>
    </w:rPr>
  </w:style>
  <w:style w:type="paragraph" w:styleId="Date">
    <w:name w:val="Date"/>
    <w:next w:val="BodyText"/>
    <w:autoRedefine/>
    <w:qFormat/>
    <w:rsid w:val="00F3750F"/>
    <w:pPr>
      <w:keepNext/>
      <w:keepLines/>
      <w:jc w:val="center"/>
    </w:pPr>
    <w:rPr>
      <w:rFonts w:ascii="Times New Roman" w:hAnsi="Times New Roman"/>
    </w:rPr>
  </w:style>
  <w:style w:type="paragraph" w:customStyle="1" w:styleId="Abstract">
    <w:name w:val="Abstract"/>
    <w:basedOn w:val="Normal"/>
    <w:next w:val="BodyText"/>
    <w:autoRedefine/>
    <w:qFormat/>
    <w:rsid w:val="00F3750F"/>
    <w:pPr>
      <w:keepNext/>
      <w:keepLines/>
      <w:spacing w:before="300" w:after="300"/>
    </w:pPr>
    <w:rPr>
      <w:szCs w:val="20"/>
    </w:rPr>
  </w:style>
  <w:style w:type="paragraph" w:styleId="Bibliography">
    <w:name w:val="Bibliography"/>
    <w:basedOn w:val="Normal"/>
    <w:autoRedefine/>
    <w:qFormat/>
    <w:rsid w:val="00CB530E"/>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F3750F"/>
    <w:pPr>
      <w:spacing w:after="120"/>
    </w:pPr>
    <w:rPr>
      <w:i/>
      <w:sz w:val="20"/>
    </w:rPr>
  </w:style>
  <w:style w:type="paragraph" w:customStyle="1" w:styleId="TableCaption">
    <w:name w:val="Table Caption"/>
    <w:basedOn w:val="Caption"/>
    <w:pPr>
      <w:keepNext/>
    </w:pPr>
  </w:style>
  <w:style w:type="paragraph" w:customStyle="1" w:styleId="ImageCaption">
    <w:name w:val="Image Caption"/>
    <w:basedOn w:val="Caption"/>
    <w:rsid w:val="00CB530E"/>
    <w:rPr>
      <w:i w:val="0"/>
    </w:rPr>
  </w:style>
  <w:style w:type="paragraph" w:customStyle="1" w:styleId="Figure">
    <w:name w:val="Figure"/>
    <w:basedOn w:val="Normal"/>
    <w:rsid w:val="00F3750F"/>
    <w:rPr>
      <w:sz w:val="20"/>
    </w:rPr>
  </w:style>
  <w:style w:type="paragraph" w:customStyle="1" w:styleId="CaptionedFigure">
    <w:name w:val="Captioned Figure"/>
    <w:basedOn w:val="Figure"/>
    <w:rsid w:val="00CB530E"/>
    <w:pPr>
      <w:keepNext/>
    </w:pPr>
    <w:rPr>
      <w:sz w:val="22"/>
    </w:rPr>
  </w:style>
  <w:style w:type="character" w:customStyle="1" w:styleId="CaptionChar">
    <w:name w:val="Caption Char"/>
    <w:basedOn w:val="DefaultParagraphFont"/>
    <w:link w:val="Caption"/>
    <w:rsid w:val="00F3750F"/>
    <w:rPr>
      <w:rFonts w:ascii="Times New Roman" w:hAnsi="Times New Roman"/>
      <w:i/>
      <w:sz w:val="20"/>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rFonts w:ascii="Times New Roman" w:hAnsi="Times New Roman"/>
      <w:i/>
      <w:sz w:val="20"/>
    </w:rPr>
  </w:style>
  <w:style w:type="character" w:styleId="FootnoteReference">
    <w:name w:val="footnote reference"/>
    <w:basedOn w:val="CaptionChar"/>
    <w:rPr>
      <w:rFonts w:ascii="Times New Roman" w:hAnsi="Times New Roman"/>
      <w:i/>
      <w:sz w:val="20"/>
      <w:vertAlign w:val="superscript"/>
    </w:rPr>
  </w:style>
  <w:style w:type="character" w:styleId="Hyperlink">
    <w:name w:val="Hyperlink"/>
    <w:basedOn w:val="CaptionChar"/>
    <w:rPr>
      <w:rFonts w:ascii="Times New Roman" w:hAnsi="Times New Roman"/>
      <w:i/>
      <w:color w:val="4F81BD" w:themeColor="accent1"/>
      <w:sz w:val="20"/>
    </w:rPr>
  </w:style>
  <w:style w:type="paragraph" w:styleId="TOCHeading">
    <w:name w:val="TOC Heading"/>
    <w:basedOn w:val="Heading1"/>
    <w:next w:val="BodyText"/>
    <w:uiPriority w:val="39"/>
    <w:unhideWhenUsed/>
    <w:qFormat/>
    <w:rsid w:val="00F3750F"/>
    <w:pPr>
      <w:spacing w:before="240" w:line="259" w:lineRule="auto"/>
      <w:outlineLvl w:val="9"/>
    </w:pPr>
    <w:rPr>
      <w:b w:val="0"/>
      <w:bCs w:val="0"/>
      <w:color w:val="auto"/>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onstantTok">
    <w:name w:val="ConstantTok"/>
    <w:basedOn w:val="VerbatimChar"/>
    <w:rPr>
      <w:rFonts w:ascii="Consolas" w:hAnsi="Consolas"/>
      <w:i/>
      <w:color w:val="880000"/>
      <w:sz w:val="22"/>
    </w:rPr>
  </w:style>
  <w:style w:type="character" w:customStyle="1" w:styleId="CharTok">
    <w:name w:val="CharTok"/>
    <w:basedOn w:val="VerbatimChar"/>
    <w:rPr>
      <w:rFonts w:ascii="Consolas" w:hAnsi="Consolas"/>
      <w:i/>
      <w:color w:val="4070A0"/>
      <w:sz w:val="22"/>
    </w:rPr>
  </w:style>
  <w:style w:type="character" w:customStyle="1" w:styleId="SpecialCharTok">
    <w:name w:val="Speci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VerbatimStringTok">
    <w:name w:val="VerbatimStringTok"/>
    <w:basedOn w:val="VerbatimChar"/>
    <w:rPr>
      <w:rFonts w:ascii="Consolas" w:hAnsi="Consolas"/>
      <w:i/>
      <w:color w:val="4070A0"/>
      <w:sz w:val="22"/>
    </w:rPr>
  </w:style>
  <w:style w:type="character" w:customStyle="1" w:styleId="SpecialStringTok">
    <w:name w:val="SpecialStringTok"/>
    <w:basedOn w:val="VerbatimChar"/>
    <w:rPr>
      <w:rFonts w:ascii="Consolas" w:hAnsi="Consolas"/>
      <w:i/>
      <w:color w:val="BB6688"/>
      <w:sz w:val="22"/>
    </w:rPr>
  </w:style>
  <w:style w:type="character" w:customStyle="1" w:styleId="ImportTok">
    <w:name w:val="ImportTok"/>
    <w:basedOn w:val="VerbatimChar"/>
    <w:rPr>
      <w:rFonts w:ascii="Consolas" w:hAnsi="Consolas"/>
      <w:i/>
      <w:sz w:val="22"/>
    </w:rPr>
  </w:style>
  <w:style w:type="character" w:customStyle="1" w:styleId="CommentTok">
    <w:name w:val="CommentTok"/>
    <w:basedOn w:val="VerbatimChar"/>
    <w:rPr>
      <w:rFonts w:ascii="Consolas" w:hAnsi="Consolas"/>
      <w:i w:val="0"/>
      <w:color w:val="60A0B0"/>
      <w:sz w:val="22"/>
    </w:rPr>
  </w:style>
  <w:style w:type="character" w:customStyle="1" w:styleId="DocumentationTok">
    <w:name w:val="DocumentationTok"/>
    <w:basedOn w:val="VerbatimChar"/>
    <w:rPr>
      <w:rFonts w:ascii="Consolas" w:hAnsi="Consolas"/>
      <w:i w:val="0"/>
      <w:color w:val="BA2121"/>
      <w:sz w:val="22"/>
    </w:rPr>
  </w:style>
  <w:style w:type="character" w:customStyle="1" w:styleId="AnnotationTok">
    <w:name w:val="AnnotationTok"/>
    <w:basedOn w:val="VerbatimChar"/>
    <w:rPr>
      <w:rFonts w:ascii="Consolas" w:hAnsi="Consolas"/>
      <w:b/>
      <w:i w:val="0"/>
      <w:color w:val="60A0B0"/>
      <w:sz w:val="22"/>
    </w:rPr>
  </w:style>
  <w:style w:type="character" w:customStyle="1" w:styleId="CommentVarTok">
    <w:name w:val="CommentVarTok"/>
    <w:basedOn w:val="VerbatimChar"/>
    <w:rPr>
      <w:rFonts w:ascii="Consolas" w:hAnsi="Consolas"/>
      <w:b/>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FunctionTok">
    <w:name w:val="FunctionTok"/>
    <w:basedOn w:val="VerbatimChar"/>
    <w:rPr>
      <w:rFonts w:ascii="Consolas" w:hAnsi="Consolas"/>
      <w:i/>
      <w:color w:val="06287E"/>
      <w:sz w:val="22"/>
    </w:rPr>
  </w:style>
  <w:style w:type="character" w:customStyle="1" w:styleId="VariableTok">
    <w:name w:val="VariableTok"/>
    <w:basedOn w:val="VerbatimChar"/>
    <w:rPr>
      <w:rFonts w:ascii="Consolas" w:hAnsi="Consolas"/>
      <w:i/>
      <w:color w:val="19177C"/>
      <w:sz w:val="22"/>
    </w:rPr>
  </w:style>
  <w:style w:type="character" w:customStyle="1" w:styleId="ControlFlowTok">
    <w:name w:val="ControlFlowTok"/>
    <w:basedOn w:val="VerbatimChar"/>
    <w:rPr>
      <w:rFonts w:ascii="Consolas" w:hAnsi="Consolas"/>
      <w:b/>
      <w:i/>
      <w:color w:val="007020"/>
      <w:sz w:val="22"/>
    </w:rPr>
  </w:style>
  <w:style w:type="character" w:customStyle="1" w:styleId="OperatorTok">
    <w:name w:val="OperatorTok"/>
    <w:basedOn w:val="VerbatimChar"/>
    <w:rPr>
      <w:rFonts w:ascii="Consolas" w:hAnsi="Consolas"/>
      <w:i/>
      <w:color w:val="666666"/>
      <w:sz w:val="22"/>
    </w:rPr>
  </w:style>
  <w:style w:type="character" w:customStyle="1" w:styleId="BuiltInTok">
    <w:name w:val="BuiltInTok"/>
    <w:basedOn w:val="VerbatimChar"/>
    <w:rPr>
      <w:rFonts w:ascii="Consolas" w:hAnsi="Consolas"/>
      <w:i/>
      <w:sz w:val="22"/>
    </w:rPr>
  </w:style>
  <w:style w:type="character" w:customStyle="1" w:styleId="ExtensionTok">
    <w:name w:val="ExtensionTok"/>
    <w:basedOn w:val="VerbatimChar"/>
    <w:rPr>
      <w:rFonts w:ascii="Consolas" w:hAnsi="Consolas"/>
      <w:i/>
      <w:sz w:val="22"/>
    </w:rPr>
  </w:style>
  <w:style w:type="character" w:customStyle="1" w:styleId="PreprocessorTok">
    <w:name w:val="PreprocessorTok"/>
    <w:basedOn w:val="VerbatimChar"/>
    <w:rPr>
      <w:rFonts w:ascii="Consolas" w:hAnsi="Consolas"/>
      <w:i/>
      <w:color w:val="BC7A00"/>
      <w:sz w:val="22"/>
    </w:rPr>
  </w:style>
  <w:style w:type="character" w:customStyle="1" w:styleId="AttributeTok">
    <w:name w:val="AttributeTok"/>
    <w:basedOn w:val="VerbatimChar"/>
    <w:rPr>
      <w:rFonts w:ascii="Consolas" w:hAnsi="Consolas"/>
      <w:i/>
      <w:color w:val="7D9029"/>
      <w:sz w:val="22"/>
    </w:rPr>
  </w:style>
  <w:style w:type="character" w:customStyle="1" w:styleId="RegionMarkerTok">
    <w:name w:val="RegionMarkerTok"/>
    <w:basedOn w:val="VerbatimChar"/>
    <w:rPr>
      <w:rFonts w:ascii="Consolas" w:hAnsi="Consolas"/>
      <w:i/>
      <w:sz w:val="22"/>
    </w:rPr>
  </w:style>
  <w:style w:type="character" w:customStyle="1" w:styleId="InformationTok">
    <w:name w:val="InformationTok"/>
    <w:basedOn w:val="VerbatimChar"/>
    <w:rPr>
      <w:rFonts w:ascii="Consolas" w:hAnsi="Consolas"/>
      <w:b/>
      <w:i w:val="0"/>
      <w:color w:val="60A0B0"/>
      <w:sz w:val="22"/>
    </w:rPr>
  </w:style>
  <w:style w:type="character" w:customStyle="1" w:styleId="WarningTok">
    <w:name w:val="WarningTok"/>
    <w:basedOn w:val="VerbatimChar"/>
    <w:rPr>
      <w:rFonts w:ascii="Consolas" w:hAnsi="Consolas"/>
      <w:b/>
      <w:i w:val="0"/>
      <w:color w:val="60A0B0"/>
      <w:sz w:val="22"/>
    </w:rPr>
  </w:style>
  <w:style w:type="character" w:customStyle="1" w:styleId="AlertTok">
    <w:name w:val="AlertTok"/>
    <w:basedOn w:val="VerbatimChar"/>
    <w:rPr>
      <w:rFonts w:ascii="Consolas" w:hAnsi="Consolas"/>
      <w:b/>
      <w:i/>
      <w:color w:val="FF0000"/>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character" w:customStyle="1" w:styleId="BodyTextChar">
    <w:name w:val="Body Text Char"/>
    <w:basedOn w:val="DefaultParagraphFont"/>
    <w:link w:val="BodyText"/>
    <w:rsid w:val="00CB530E"/>
    <w:rPr>
      <w:rFonts w:ascii="Helvetica" w:hAnsi="Helvetic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bintrayler/collagen_demineralization" TargetMode="External"/><Relationship Id="rId13" Type="http://schemas.openxmlformats.org/officeDocument/2006/relationships/hyperlink" Target="https://doi.org/10.1016/j.jas.2010.01.029"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s://github.com/robintrayler/collagen_demineralizat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644/11-mamm-s-158.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hyperlink" Target="https://doi.org/10.1016/j.gca.2016.10.023" TargetMode="Externa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yperlink" Target="https://doi.org/10.1016/0305-4403(91)90073-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15</Pages>
  <Words>6558</Words>
  <Characters>37381</Characters>
  <Application>Microsoft Office Word</Application>
  <DocSecurity>0</DocSecurity>
  <Lines>311</Lines>
  <Paragraphs>87</Paragraphs>
  <ScaleCrop>false</ScaleCrop>
  <Company/>
  <LinksUpToDate>false</LinksUpToDate>
  <CharactersWithSpaces>43852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the Efficacy of Bone Collagen Isolation Using Stable Isotope Analysis and Infrared Spectroscopy</dc:title>
  <dc:creator>Robin B. Trayler; Pedro Valencia Landa; Sora L. Kim</dc:creator>
  <cp:keywords/>
  <cp:lastModifiedBy>Robin B. Trayler</cp:lastModifiedBy>
  <cp:revision>2</cp:revision>
  <dcterms:created xsi:type="dcterms:W3CDTF">2022-05-05T23:27:00Z</dcterms:created>
  <dcterms:modified xsi:type="dcterms:W3CDTF">2022-05-05T23:28:00Z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./bibtex.bib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./rapid-communications-in-mass-spectrometry.csl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equationNumberTeX">
    <vt:lpwstr>qquad</vt:lpwstr>
  </property>
  <property fmtid="{D5CDD505-2E9C-101B-9397-08002B2CF9AE}" pid="19" name="figLabels">
    <vt:lpwstr>arabic</vt:lpwstr>
  </property>
  <property fmtid="{D5CDD505-2E9C-101B-9397-08002B2CF9AE}" pid="20" name="figPrefix">
    <vt:lpwstr>Figure</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fontsize">
    <vt:lpwstr>10pt</vt:lpwstr>
  </property>
  <property fmtid="{D5CDD505-2E9C-101B-9397-08002B2CF9AE}" pid="25" name="geometry">
    <vt:lpwstr>margin=1.0in</vt:lpwstr>
  </property>
  <property fmtid="{D5CDD505-2E9C-101B-9397-08002B2CF9AE}" pid="26" name="header-includes">
    <vt:lpwstr/>
  </property>
  <property fmtid="{D5CDD505-2E9C-101B-9397-08002B2CF9AE}" pid="27" name="indent">
    <vt:lpwstr>True</vt:lpwstr>
  </property>
  <property fmtid="{D5CDD505-2E9C-101B-9397-08002B2CF9AE}" pid="28" name="lastDelim">
    <vt:lpwstr>, </vt:lpwstr>
  </property>
  <property fmtid="{D5CDD505-2E9C-101B-9397-08002B2CF9AE}" pid="29" name="link-citations">
    <vt:lpwstr>True</vt:lpwstr>
  </property>
  <property fmtid="{D5CDD505-2E9C-101B-9397-08002B2CF9AE}" pid="30" name="linkReferences">
    <vt:lpwstr>False</vt:lpwstr>
  </property>
  <property fmtid="{D5CDD505-2E9C-101B-9397-08002B2CF9AE}" pid="31" name="listingTemplate">
    <vt:lpwstr>listingTitle ititleDelim t</vt:lpwstr>
  </property>
  <property fmtid="{D5CDD505-2E9C-101B-9397-08002B2CF9AE}" pid="32" name="listingTitle">
    <vt:lpwstr>Listing</vt:lpwstr>
  </property>
  <property fmtid="{D5CDD505-2E9C-101B-9397-08002B2CF9AE}" pid="33" name="listings">
    <vt:lpwstr>False</vt:lpwstr>
  </property>
  <property fmtid="{D5CDD505-2E9C-101B-9397-08002B2CF9AE}" pid="34" name="lofTitle">
    <vt:lpwstr>List of Figures</vt:lpwstr>
  </property>
  <property fmtid="{D5CDD505-2E9C-101B-9397-08002B2CF9AE}" pid="35" name="lolTitle">
    <vt:lpwstr>List of Listings</vt:lpwstr>
  </property>
  <property fmtid="{D5CDD505-2E9C-101B-9397-08002B2CF9AE}" pid="36" name="lotTitle">
    <vt:lpwstr>List of Tables</vt:lpwstr>
  </property>
  <property fmtid="{D5CDD505-2E9C-101B-9397-08002B2CF9AE}" pid="37" name="lstLabels">
    <vt:lpwstr>arabic</vt:lpwstr>
  </property>
  <property fmtid="{D5CDD505-2E9C-101B-9397-08002B2CF9AE}" pid="38" name="lstPrefix">
    <vt:lpwstr/>
  </property>
  <property fmtid="{D5CDD505-2E9C-101B-9397-08002B2CF9AE}" pid="39" name="lstPrefixTemplate">
    <vt:lpwstr>p i</vt:lpwstr>
  </property>
  <property fmtid="{D5CDD505-2E9C-101B-9397-08002B2CF9AE}" pid="40" name="mainfont">
    <vt:lpwstr>Helvetica</vt:lpwstr>
  </property>
  <property fmtid="{D5CDD505-2E9C-101B-9397-08002B2CF9AE}" pid="41" name="nameInLink">
    <vt:lpwstr>False</vt:lpwstr>
  </property>
  <property fmtid="{D5CDD505-2E9C-101B-9397-08002B2CF9AE}" pid="42" name="numberSections">
    <vt:lpwstr>False</vt:lpwstr>
  </property>
  <property fmtid="{D5CDD505-2E9C-101B-9397-08002B2CF9AE}" pid="43" name="pairDelim">
    <vt:lpwstr>, </vt:lpwstr>
  </property>
  <property fmtid="{D5CDD505-2E9C-101B-9397-08002B2CF9AE}" pid="44" name="rangeDelim">
    <vt:lpwstr>-</vt:lpwstr>
  </property>
  <property fmtid="{D5CDD505-2E9C-101B-9397-08002B2CF9AE}" pid="45" name="refDelim">
    <vt:lpwstr>, </vt:lpwstr>
  </property>
  <property fmtid="{D5CDD505-2E9C-101B-9397-08002B2CF9AE}" pid="46" name="refIndexTemplate">
    <vt:lpwstr>isuf</vt:lpwstr>
  </property>
  <property fmtid="{D5CDD505-2E9C-101B-9397-08002B2CF9AE}" pid="47" name="secHeaderDelim">
    <vt:lpwstr> </vt:lpwstr>
  </property>
  <property fmtid="{D5CDD505-2E9C-101B-9397-08002B2CF9AE}" pid="48" name="secHeaderTemplate">
    <vt:lpwstr>isecHeaderDelim[n]t</vt:lpwstr>
  </property>
  <property fmtid="{D5CDD505-2E9C-101B-9397-08002B2CF9AE}" pid="49" name="secLabels">
    <vt:lpwstr>arabic</vt:lpwstr>
  </property>
  <property fmtid="{D5CDD505-2E9C-101B-9397-08002B2CF9AE}" pid="50" name="secPrefix">
    <vt:lpwstr>Section</vt:lpwstr>
  </property>
  <property fmtid="{D5CDD505-2E9C-101B-9397-08002B2CF9AE}" pid="51" name="secPrefixTemplate">
    <vt:lpwstr>p i</vt:lpwstr>
  </property>
  <property fmtid="{D5CDD505-2E9C-101B-9397-08002B2CF9AE}" pid="52" name="sectionsDepth">
    <vt:lpwstr>0</vt:lpwstr>
  </property>
  <property fmtid="{D5CDD505-2E9C-101B-9397-08002B2CF9AE}" pid="53" name="subfigGrid">
    <vt:lpwstr>False</vt:lpwstr>
  </property>
  <property fmtid="{D5CDD505-2E9C-101B-9397-08002B2CF9AE}" pid="54" name="subfigLabels">
    <vt:lpwstr>alpha a</vt:lpwstr>
  </property>
  <property fmtid="{D5CDD505-2E9C-101B-9397-08002B2CF9AE}" pid="55" name="subfigureChildTemplate">
    <vt:lpwstr>i</vt:lpwstr>
  </property>
  <property fmtid="{D5CDD505-2E9C-101B-9397-08002B2CF9AE}" pid="56" name="subfigureRefIndexTemplate">
    <vt:lpwstr>isuf (s)</vt:lpwstr>
  </property>
  <property fmtid="{D5CDD505-2E9C-101B-9397-08002B2CF9AE}" pid="57" name="subfigureTemplate">
    <vt:lpwstr>figureTitle ititleDelim t. ccs</vt:lpwstr>
  </property>
  <property fmtid="{D5CDD505-2E9C-101B-9397-08002B2CF9AE}" pid="58" name="tableEqns">
    <vt:lpwstr>False</vt:lpwstr>
  </property>
  <property fmtid="{D5CDD505-2E9C-101B-9397-08002B2CF9AE}" pid="59" name="tableTemplate">
    <vt:lpwstr>tableTitle ititleDelim t</vt:lpwstr>
  </property>
  <property fmtid="{D5CDD505-2E9C-101B-9397-08002B2CF9AE}" pid="60" name="tableTitle">
    <vt:lpwstr>Table</vt:lpwstr>
  </property>
  <property fmtid="{D5CDD505-2E9C-101B-9397-08002B2CF9AE}" pid="61" name="tblLabels">
    <vt:lpwstr>arabic</vt:lpwstr>
  </property>
  <property fmtid="{D5CDD505-2E9C-101B-9397-08002B2CF9AE}" pid="62" name="tblPrefix">
    <vt:lpwstr>Table</vt:lpwstr>
  </property>
  <property fmtid="{D5CDD505-2E9C-101B-9397-08002B2CF9AE}" pid="63" name="tblPrefixTemplate">
    <vt:lpwstr>p i</vt:lpwstr>
  </property>
  <property fmtid="{D5CDD505-2E9C-101B-9397-08002B2CF9AE}" pid="64" name="titleDelim">
    <vt:lpwstr>:</vt:lpwstr>
  </property>
</Properties>
</file>