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df" ContentType="application/pdf"/>
  <Override PartName="/word/media/rId41.pdf" ContentType="application/pdf"/>
  <Override PartName="/word/media/rId27.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Simple,</w:t>
      </w:r>
      <w:r>
        <w:t xml:space="preserve"> </w:t>
      </w:r>
      <w:r>
        <w:t xml:space="preserve">Rapid</w:t>
      </w:r>
      <w:r>
        <w:t xml:space="preserve"> </w:t>
      </w:r>
      <w:r>
        <w:t xml:space="preserve">Extraction</w:t>
      </w:r>
      <w:r>
        <w:t xml:space="preserve"> </w:t>
      </w:r>
      <w:r>
        <w:t xml:space="preserve">of</w:t>
      </w:r>
      <w:r>
        <w:t xml:space="preserve"> </w:t>
      </w:r>
      <w:r>
        <w:t xml:space="preserve">Collagen</w:t>
      </w:r>
      <w:r>
        <w:t xml:space="preserve"> </w:t>
      </w:r>
      <w:r>
        <w:t xml:space="preserve">from</w:t>
      </w:r>
      <w:r>
        <w:t xml:space="preserve"> </w:t>
      </w:r>
      <w:r>
        <w:t xml:space="preserve">Modern</w:t>
      </w:r>
      <w:r>
        <w:t xml:space="preserve"> </w:t>
      </w:r>
      <w:r>
        <w:t xml:space="preserve">Bone</w:t>
      </w:r>
    </w:p>
    <w:p>
      <w:pPr>
        <w:pStyle w:val="Author"/>
      </w:pPr>
      <w:r>
        <w:t xml:space="preserve">Robin</w:t>
      </w:r>
      <w:r>
        <w:t xml:space="preserve"> </w:t>
      </w:r>
      <w:r>
        <w:t xml:space="preserve">B.</w:t>
      </w:r>
      <w:r>
        <w:t xml:space="preserve"> </w:t>
      </w:r>
      <w:r>
        <w:t xml:space="preserve">Trayler</w:t>
      </w:r>
    </w:p>
    <w:p>
      <w:pPr>
        <w:pStyle w:val="Author"/>
      </w:pPr>
      <w:r>
        <w:t xml:space="preserve">Sora</w:t>
      </w:r>
      <w:r>
        <w:t xml:space="preserve"> </w:t>
      </w:r>
      <w:r>
        <w:t xml:space="preserve">L.</w:t>
      </w:r>
      <w:r>
        <w:t xml:space="preserve"> </w:t>
      </w:r>
      <w:r>
        <w:t xml:space="preserve">Kim</w:t>
      </w:r>
    </w:p>
    <w:bookmarkStart w:id="21" w:name="notes"/>
    <w:p>
      <w:pPr>
        <w:pStyle w:val="Heading1"/>
      </w:pPr>
      <w:r>
        <w:rPr>
          <w:rStyle w:val="SectionNumber"/>
        </w:rPr>
        <w:t xml:space="preserve">1</w:t>
      </w:r>
      <w:r>
        <w:tab/>
      </w:r>
      <w:r>
        <w:t xml:space="preserve">Notes</w:t>
      </w:r>
    </w:p>
    <w:bookmarkStart w:id="20" w:name="references-to-include"/>
    <w:p>
      <w:pPr>
        <w:pStyle w:val="Heading2"/>
      </w:pPr>
      <w:r>
        <w:rPr>
          <w:rStyle w:val="SectionNumber"/>
        </w:rPr>
        <w:t xml:space="preserve">1.1</w:t>
      </w:r>
      <w:r>
        <w:tab/>
      </w:r>
      <w:r>
        <w:t xml:space="preserve">References to include</w:t>
      </w:r>
    </w:p>
    <w:p>
      <w:pPr>
        <w:numPr>
          <w:ilvl w:val="0"/>
          <w:numId w:val="1001"/>
        </w:numPr>
        <w:pStyle w:val="Compact"/>
      </w:pPr>
      <w:r>
        <w:t xml:space="preserve">Botta et al. (</w:t>
      </w:r>
      <w:hyperlink w:anchor="ref-botta2012">
        <w:r>
          <w:rPr>
            <w:rStyle w:val="Hyperlink"/>
          </w:rPr>
          <w:t xml:space="preserve">2012</w:t>
        </w:r>
      </w:hyperlink>
      <w:r>
        <w:t xml:space="preserve">)</w:t>
      </w:r>
      <w:r>
        <w:t xml:space="preserve"> </w:t>
      </w:r>
      <w:r>
        <w:t xml:space="preserve">- amide band positions</w:t>
      </w:r>
    </w:p>
    <w:p>
      <w:pPr>
        <w:numPr>
          <w:ilvl w:val="0"/>
          <w:numId w:val="1001"/>
        </w:numPr>
        <w:pStyle w:val="Compact"/>
      </w:pPr>
      <w:r>
        <w:t xml:space="preserve">Roche et al. (</w:t>
      </w:r>
      <w:hyperlink w:anchor="ref-roche2010">
        <w:r>
          <w:rPr>
            <w:rStyle w:val="Hyperlink"/>
          </w:rPr>
          <w:t xml:space="preserve">2010</w:t>
        </w:r>
      </w:hyperlink>
      <w:r>
        <w:t xml:space="preserve">)</w:t>
      </w:r>
      <w:r>
        <w:t xml:space="preserve"> </w:t>
      </w:r>
      <w:r>
        <w:t xml:space="preserve">- preservation and carbonate content</w:t>
      </w:r>
    </w:p>
    <w:p>
      <w:pPr>
        <w:numPr>
          <w:ilvl w:val="0"/>
          <w:numId w:val="1001"/>
        </w:numPr>
        <w:pStyle w:val="Compact"/>
      </w:pPr>
      <w:r>
        <w:t xml:space="preserve">Grunenwald et al. (</w:t>
      </w:r>
      <w:hyperlink w:anchor="ref-grunenwald2014">
        <w:r>
          <w:rPr>
            <w:rStyle w:val="Hyperlink"/>
          </w:rPr>
          <w:t xml:space="preserve">2014</w:t>
        </w:r>
      </w:hyperlink>
      <w:r>
        <w:t xml:space="preserve">)</w:t>
      </w:r>
      <w:r>
        <w:t xml:space="preserve"> </w:t>
      </w:r>
      <w:r>
        <w:t xml:space="preserve">- carbonate in enamel</w:t>
      </w:r>
    </w:p>
    <w:p>
      <w:pPr>
        <w:numPr>
          <w:ilvl w:val="0"/>
          <w:numId w:val="1001"/>
        </w:numPr>
        <w:pStyle w:val="Compact"/>
      </w:pPr>
      <w:r>
        <w:t xml:space="preserve">LeGeros (</w:t>
      </w:r>
      <w:hyperlink w:anchor="ref-legeros1991">
        <w:r>
          <w:rPr>
            <w:rStyle w:val="Hyperlink"/>
          </w:rPr>
          <w:t xml:space="preserve">1991</w:t>
        </w:r>
      </w:hyperlink>
      <w:r>
        <w:t xml:space="preserve">)</w:t>
      </w:r>
      <w:r>
        <w:t xml:space="preserve"> </w:t>
      </w:r>
      <w:r>
        <w:t xml:space="preserve">- enamel IR bands</w:t>
      </w:r>
    </w:p>
    <w:p>
      <w:pPr>
        <w:numPr>
          <w:ilvl w:val="0"/>
          <w:numId w:val="1001"/>
        </w:numPr>
        <w:pStyle w:val="Compact"/>
      </w:pPr>
      <w:r>
        <w:t xml:space="preserve">Hankermeyer et al. (</w:t>
      </w:r>
      <w:hyperlink w:anchor="ref-hankermeyer2002">
        <w:r>
          <w:rPr>
            <w:rStyle w:val="Hyperlink"/>
          </w:rPr>
          <w:t xml:space="preserve">2002</w:t>
        </w:r>
      </w:hyperlink>
      <w:r>
        <w:t xml:space="preserve">)</w:t>
      </w:r>
      <w:r>
        <w:t xml:space="preserve"> </w:t>
      </w:r>
      <w:r>
        <w:t xml:space="preserve">- dissolution rates</w:t>
      </w:r>
    </w:p>
    <w:bookmarkEnd w:id="20"/>
    <w:bookmarkEnd w:id="21"/>
    <w:bookmarkStart w:id="22" w:name="sec:introduction"/>
    <w:p>
      <w:pPr>
        <w:pStyle w:val="Heading1"/>
      </w:pPr>
      <w:r>
        <w:rPr>
          <w:rStyle w:val="SectionNumber"/>
        </w:rPr>
        <w:t xml:space="preserve">2</w:t>
      </w:r>
      <w:r>
        <w:tab/>
      </w:r>
      <w:r>
        <w:t xml:space="preserve">Introduction</w:t>
      </w:r>
    </w:p>
    <w:p>
      <w:pPr>
        <w:pStyle w:val="FirstParagraph"/>
      </w:pPr>
      <w:r>
        <w:t xml:space="preserve">Extracting bone collagen for stable isotope analysis is one of the most common methods for inferring ecological information from modern and fossil animals</w:t>
      </w:r>
      <w:r>
        <w:t xml:space="preserve"> </w:t>
      </w:r>
      <w:r>
        <w:t xml:space="preserve">(</w:t>
      </w:r>
      <w:hyperlink w:anchor="ref-koch1994">
        <w:r>
          <w:rPr>
            <w:rStyle w:val="Hyperlink"/>
          </w:rPr>
          <w:t xml:space="preserve">Koch et al., 1994</w:t>
        </w:r>
      </w:hyperlink>
      <w:r>
        <w:t xml:space="preserve">;</w:t>
      </w:r>
      <w:r>
        <w:t xml:space="preserve"> </w:t>
      </w:r>
      <w:hyperlink w:anchor="ref-clementz2012">
        <w:r>
          <w:rPr>
            <w:rStyle w:val="Hyperlink"/>
          </w:rPr>
          <w:t xml:space="preserve">Clementz, 2012</w:t>
        </w:r>
      </w:hyperlink>
      <w:r>
        <w:t xml:space="preserve">)</w:t>
      </w:r>
      <w:r>
        <w:t xml:space="preserve">. Bone is a composite material, made of both mineral and organic components. The mineral component is primarily bioapatite [Ca</w:t>
      </w:r>
      <w:r>
        <w:rPr>
          <w:vertAlign w:val="subscript"/>
        </w:rPr>
        <w:t xml:space="preserve">5</w:t>
      </w:r>
      <w:r>
        <w:t xml:space="preserve">(PO</w:t>
      </w:r>
      <w:r>
        <w:rPr>
          <w:vertAlign w:val="subscript"/>
        </w:rPr>
        <w:t xml:space="preserve">4</w:t>
      </w:r>
      <w:r>
        <w:t xml:space="preserve">)</w:t>
      </w:r>
      <w:r>
        <w:rPr>
          <w:vertAlign w:val="subscript"/>
        </w:rPr>
        <w:t xml:space="preserve">3</w:t>
      </w:r>
      <w:r>
        <w:t xml:space="preserve">OH] with carbonate (CO</w:t>
      </w:r>
      <w:r>
        <w:rPr>
          <w:vertAlign w:val="subscript"/>
        </w:rPr>
        <w:t xml:space="preserve">3</w:t>
      </w:r>
      <w:r>
        <w:t xml:space="preserve">) substitutions in the phosphate and hydroxyl sites</w:t>
      </w:r>
      <w:r>
        <w:t xml:space="preserve"> </w:t>
      </w:r>
      <w:r>
        <w:t xml:space="preserve">(</w:t>
      </w:r>
      <w:hyperlink w:anchor="ref-elliott2002">
        <w:r>
          <w:rPr>
            <w:rStyle w:val="Hyperlink"/>
          </w:rPr>
          <w:t xml:space="preserve">Elliott, 2002</w:t>
        </w:r>
      </w:hyperlink>
      <w:r>
        <w:t xml:space="preserve">)</w:t>
      </w:r>
      <w:r>
        <w:t xml:space="preserve">. Modern dry bone is about 20 - 30 wt% organic matter, while dentine is about 12 - 33 wt% organic</w:t>
      </w:r>
      <w:r>
        <w:t xml:space="preserve"> </w:t>
      </w:r>
      <w:r>
        <w:t xml:space="preserve">(</w:t>
      </w:r>
      <w:hyperlink w:anchor="ref-driessens1990">
        <w:r>
          <w:rPr>
            <w:rStyle w:val="Hyperlink"/>
          </w:rPr>
          <w:t xml:space="preserve">Driessens and Verbeeck, 1990</w:t>
        </w:r>
      </w:hyperlink>
      <w:r>
        <w:t xml:space="preserve">)</w:t>
      </w:r>
      <w:r>
        <w:t xml:space="preserve">, which in turn is about 89% collagen</w:t>
      </w:r>
      <w:r>
        <w:t xml:space="preserve"> </w:t>
      </w:r>
      <w:r>
        <w:t xml:space="preserve">(</w:t>
      </w:r>
      <w:hyperlink w:anchor="ref-ambrose1990">
        <w:r>
          <w:rPr>
            <w:rStyle w:val="Hyperlink"/>
          </w:rPr>
          <w:t xml:space="preserve">Ambrose, 1990</w:t>
        </w:r>
      </w:hyperlink>
      <w:r>
        <w:t xml:space="preserve">;</w:t>
      </w:r>
      <w:r>
        <w:t xml:space="preserve"> </w:t>
      </w:r>
      <w:hyperlink w:anchor="ref-driessens1990">
        <w:r>
          <w:rPr>
            <w:rStyle w:val="Hyperlink"/>
          </w:rPr>
          <w:t xml:space="preserve">Driessens and Verbeeck, 1990</w:t>
        </w:r>
      </w:hyperlink>
      <w:r>
        <w:t xml:space="preserve">;</w:t>
      </w:r>
      <w:r>
        <w:t xml:space="preserve"> </w:t>
      </w:r>
      <w:hyperlink w:anchor="ref-vanklinken1999">
        <w:r>
          <w:rPr>
            <w:rStyle w:val="Hyperlink"/>
          </w:rPr>
          <w:t xml:space="preserve">Van Klinken, 1999</w:t>
        </w:r>
      </w:hyperlink>
      <w:r>
        <w:t xml:space="preserve">)</w:t>
      </w:r>
      <w:r>
        <w:t xml:space="preserve">. Since collagen is relatively insoluble</w:t>
      </w:r>
      <w:r>
        <w:t xml:space="preserve"> </w:t>
      </w:r>
      <w:r>
        <w:t xml:space="preserve">(</w:t>
      </w:r>
      <w:hyperlink w:anchor="ref-schwarcz1991">
        <w:r>
          <w:rPr>
            <w:rStyle w:val="Hyperlink"/>
          </w:rPr>
          <w:t xml:space="preserve">Schwarcz and Schoeninger, 1991</w:t>
        </w:r>
      </w:hyperlink>
      <w:r>
        <w:t xml:space="preserve">)</w:t>
      </w:r>
      <w:r>
        <w:t xml:space="preserve"> </w:t>
      </w:r>
      <w:r>
        <w:t xml:space="preserve">it can persist in the fossil record for ~10</w:t>
      </w:r>
      <w:r>
        <w:rPr>
          <w:vertAlign w:val="superscript"/>
        </w:rPr>
        <w:t xml:space="preserve">5</w:t>
      </w:r>
      <w:r>
        <w:t xml:space="preserve"> </w:t>
      </w:r>
      <w:r>
        <w:t xml:space="preserve">years</w:t>
      </w:r>
      <w:r>
        <w:t xml:space="preserve"> </w:t>
      </w:r>
      <w:r>
        <w:t xml:space="preserve">(</w:t>
      </w:r>
      <w:hyperlink w:anchor="ref-clementz2012">
        <w:r>
          <w:rPr>
            <w:rStyle w:val="Hyperlink"/>
          </w:rPr>
          <w:t xml:space="preserve">Clementz, 2012</w:t>
        </w:r>
      </w:hyperlink>
      <w:r>
        <w:t xml:space="preserve">)</w:t>
      </w:r>
      <w:r>
        <w:t xml:space="preserve">. Furthermore, since the amino acid composition and elemental content (~40% carbon, ~15% nitrogen) are well characterized, it is reasonably straightforward to identify and remove contaminants in collagen prior to analysis</w:t>
      </w:r>
      <w:r>
        <w:t xml:space="preserve"> </w:t>
      </w:r>
      <w:r>
        <w:t xml:space="preserve">(</w:t>
      </w:r>
      <w:hyperlink w:anchor="ref-tuross1988">
        <w:r>
          <w:rPr>
            <w:rStyle w:val="Hyperlink"/>
          </w:rPr>
          <w:t xml:space="preserve">Tuross et al., 1988</w:t>
        </w:r>
      </w:hyperlink>
      <w:r>
        <w:t xml:space="preserve">;</w:t>
      </w:r>
      <w:r>
        <w:t xml:space="preserve"> </w:t>
      </w:r>
      <w:hyperlink w:anchor="ref-ambrose1990">
        <w:r>
          <w:rPr>
            <w:rStyle w:val="Hyperlink"/>
          </w:rPr>
          <w:t xml:space="preserve">Ambrose, 1990</w:t>
        </w:r>
      </w:hyperlink>
      <w:r>
        <w:t xml:space="preserve">;</w:t>
      </w:r>
      <w:r>
        <w:t xml:space="preserve"> </w:t>
      </w:r>
      <w:hyperlink w:anchor="ref-tuross2002">
        <w:r>
          <w:rPr>
            <w:rStyle w:val="Hyperlink"/>
          </w:rPr>
          <w:t xml:space="preserve">Tuross, 2002</w:t>
        </w:r>
      </w:hyperlink>
      <w:r>
        <w:t xml:space="preserve">;</w:t>
      </w:r>
      <w:r>
        <w:t xml:space="preserve"> </w:t>
      </w:r>
      <w:hyperlink w:anchor="ref-szpak2011">
        <w:r>
          <w:rPr>
            <w:rStyle w:val="Hyperlink"/>
          </w:rPr>
          <w:t xml:space="preserve">Szpak, 2011</w:t>
        </w:r>
      </w:hyperlink>
      <w:r>
        <w:t xml:space="preserve">;</w:t>
      </w:r>
      <w:r>
        <w:t xml:space="preserve"> </w:t>
      </w:r>
      <w:hyperlink w:anchor="ref-fuller2015">
        <w:r>
          <w:rPr>
            <w:rStyle w:val="Hyperlink"/>
          </w:rPr>
          <w:t xml:space="preserve">Fuller et al., 2015</w:t>
        </w:r>
      </w:hyperlink>
      <w:r>
        <w:t xml:space="preserve">)</w:t>
      </w:r>
      <w:r>
        <w:t xml:space="preserve">. However, since bioapatite contains ~ 5% structural carbonate</w:t>
      </w:r>
      <w:r>
        <w:t xml:space="preserve"> </w:t>
      </w:r>
      <w:r>
        <w:t xml:space="preserve">(</w:t>
      </w:r>
      <w:hyperlink w:anchor="ref-elliott2002">
        <w:r>
          <w:rPr>
            <w:rStyle w:val="Hyperlink"/>
          </w:rPr>
          <w:t xml:space="preserve">Elliott, 2002</w:t>
        </w:r>
      </w:hyperlink>
      <w:r>
        <w:t xml:space="preserve">)</w:t>
      </w:r>
      <w:r>
        <w:t xml:space="preserve"> </w:t>
      </w:r>
      <w:r>
        <w:t xml:space="preserve">there are two main reservoirs of carbon in bone. Furthermore, the carbon isotope fractionation between diet and collagen differ significantly from the fractionation between diet and structural carbonate</w:t>
      </w:r>
      <w:r>
        <w:t xml:space="preserve"> </w:t>
      </w:r>
      <w:r>
        <w:t xml:space="preserve">(</w:t>
      </w:r>
      <w:hyperlink w:anchor="ref-passey2005">
        <w:r>
          <w:rPr>
            <w:rStyle w:val="Hyperlink"/>
          </w:rPr>
          <w:t xml:space="preserve">Passey et al., 2005</w:t>
        </w:r>
      </w:hyperlink>
      <w:r>
        <w:t xml:space="preserve">)</w:t>
      </w:r>
      <w:r>
        <w:t xml:space="preserve">. This means that collagen must be isolated from the mineral component prior to analysis.</w:t>
      </w:r>
    </w:p>
    <w:p>
      <w:pPr>
        <w:pStyle w:val="BodyText"/>
      </w:pPr>
      <w:r>
        <w:t xml:space="preserve">Isolating collagen for stable isotope analysis is usually accomplished via reaction with hydrochloric acid (HCl) to dissolve the mineral component. HCl protonates the carbonate and phosphate groups of the hydroxylapatite structure to form carbonic and phosphoric acid</w:t>
      </w:r>
      <w:r>
        <w:t xml:space="preserve"> </w:t>
      </w:r>
      <w:r>
        <w:t xml:space="preserve">(</w:t>
      </w:r>
      <w:hyperlink w:anchor="ref-hankermeyer2002">
        <w:r>
          <w:rPr>
            <w:rStyle w:val="Hyperlink"/>
          </w:rPr>
          <w:t xml:space="preserve">Hankermeyer et al., 2002</w:t>
        </w:r>
      </w:hyperlink>
      <w:r>
        <w:t xml:space="preserve">)</w:t>
      </w:r>
      <w:r>
        <w:t xml:space="preserve"> </w:t>
      </w:r>
      <w:r>
        <w:t xml:space="preserve">which can then be decanted, leaving behind the residual collagen. This is sometimes followed by rinsing with sodium hydroxide (NaOH) to remove lipid and humic acid contaminants</w:t>
      </w:r>
      <w:r>
        <w:t xml:space="preserve"> </w:t>
      </w:r>
      <w:r>
        <w:t xml:space="preserve">(</w:t>
      </w:r>
      <w:hyperlink w:anchor="ref-longin1971">
        <w:r>
          <w:rPr>
            <w:rStyle w:val="Hyperlink"/>
          </w:rPr>
          <w:t xml:space="preserve">Longin, 1971</w:t>
        </w:r>
      </w:hyperlink>
      <w:r>
        <w:t xml:space="preserve">;</w:t>
      </w:r>
      <w:r>
        <w:t xml:space="preserve"> </w:t>
      </w:r>
      <w:hyperlink w:anchor="ref-brown1988">
        <w:r>
          <w:rPr>
            <w:rStyle w:val="Hyperlink"/>
          </w:rPr>
          <w:t xml:space="preserve">Brown et al., 1988</w:t>
        </w:r>
      </w:hyperlink>
      <w:r>
        <w:t xml:space="preserve">;</w:t>
      </w:r>
      <w:r>
        <w:t xml:space="preserve"> </w:t>
      </w:r>
      <w:hyperlink w:anchor="ref-ambrose1990">
        <w:r>
          <w:rPr>
            <w:rStyle w:val="Hyperlink"/>
          </w:rPr>
          <w:t xml:space="preserve">Ambrose, 1990</w:t>
        </w:r>
      </w:hyperlink>
      <w:r>
        <w:t xml:space="preserve">;</w:t>
      </w:r>
      <w:r>
        <w:t xml:space="preserve"> </w:t>
      </w:r>
      <w:hyperlink w:anchor="ref-pestle2010">
        <w:r>
          <w:rPr>
            <w:rStyle w:val="Hyperlink"/>
          </w:rPr>
          <w:t xml:space="preserve">Pestle, 2010</w:t>
        </w:r>
      </w:hyperlink>
      <w:r>
        <w:t xml:space="preserve">)</w:t>
      </w:r>
      <w:r>
        <w:t xml:space="preserve">. The rate of mineral dissolution strongly depends on the acid concentration, temperature, the particle size</w:t>
      </w:r>
      <w:r>
        <w:t xml:space="preserve"> </w:t>
      </w:r>
      <w:r>
        <w:t xml:space="preserve">(</w:t>
      </w:r>
      <w:hyperlink w:anchor="ref-hankermeyer2002">
        <w:r>
          <w:rPr>
            <w:rStyle w:val="Hyperlink"/>
          </w:rPr>
          <w:t xml:space="preserve">Hankermeyer et al., 2002</w:t>
        </w:r>
      </w:hyperlink>
      <w:r>
        <w:t xml:space="preserve">)</w:t>
      </w:r>
      <w:r>
        <w:t xml:space="preserve"> </w:t>
      </w:r>
      <w:r>
        <w:t xml:space="preserve">and change one of these variable will inevitably lead to faster or slower mineral removal. However, there is considerable variability in published methods for collagen extraction in reaction times, temperature, acid concentration, particle coarseness</w:t>
      </w:r>
      <w:r>
        <w:t xml:space="preserve"> </w:t>
      </w:r>
      <w:r>
        <w:t xml:space="preserve">(</w:t>
      </w:r>
      <w:hyperlink w:anchor="ref-ambrose1990">
        <w:r>
          <w:rPr>
            <w:rStyle w:val="Hyperlink"/>
          </w:rPr>
          <w:t xml:space="preserve">Ambrose, 1990</w:t>
        </w:r>
      </w:hyperlink>
      <w:r>
        <w:t xml:space="preserve">;</w:t>
      </w:r>
      <w:r>
        <w:t xml:space="preserve"> </w:t>
      </w:r>
      <w:hyperlink w:anchor="ref-pestle2010">
        <w:r>
          <w:rPr>
            <w:rStyle w:val="Hyperlink"/>
          </w:rPr>
          <w:t xml:space="preserve">Pestle, 2010</w:t>
        </w:r>
      </w:hyperlink>
      <w:r>
        <w:t xml:space="preserve">)</w:t>
      </w:r>
      <w:r>
        <w:t xml:space="preserve"> </w:t>
      </w:r>
      <w:r>
        <w:t xml:space="preserve">leading to ambiguity as to the best practices for mineral removal.</w:t>
      </w:r>
    </w:p>
    <w:p>
      <w:pPr>
        <w:pStyle w:val="BodyText"/>
      </w:pPr>
      <w:r>
        <w:t xml:space="preserve">In this study we do not attempt to resolve the optimal conditions for collagen extraction</w:t>
      </w:r>
      <w:r>
        <w:t xml:space="preserve"> </w:t>
      </w:r>
      <w:r>
        <w:rPr>
          <w:iCs/>
          <w:i/>
        </w:rPr>
        <w:t xml:space="preserve">per-se</w:t>
      </w:r>
      <w:r>
        <w:t xml:space="preserve">, instead, we focus only on evaluating one variable, the timing of mineral removal, while holding particle size, temperature, and acid concentration constant. Our results provide a simple, viable method for extracting collagen from well preserved modern and fossil bone. Furthermore, our methods provide a framework for evaluating the the efficacy of other collagen extraction methods at removing bone mineral under a variety of experimental conditions.</w:t>
      </w:r>
    </w:p>
    <w:bookmarkEnd w:id="22"/>
    <w:bookmarkStart w:id="26" w:name="sec:background"/>
    <w:p>
      <w:pPr>
        <w:pStyle w:val="Heading1"/>
      </w:pPr>
      <w:r>
        <w:rPr>
          <w:rStyle w:val="SectionNumber"/>
        </w:rPr>
        <w:t xml:space="preserve">3</w:t>
      </w:r>
      <w:r>
        <w:tab/>
      </w:r>
      <w:r>
        <w:t xml:space="preserve">Background</w:t>
      </w:r>
    </w:p>
    <w:bookmarkStart w:id="23" w:name="collagen-extraction"/>
    <w:p>
      <w:pPr>
        <w:pStyle w:val="Heading2"/>
      </w:pPr>
      <w:r>
        <w:rPr>
          <w:rStyle w:val="SectionNumber"/>
        </w:rPr>
        <w:t xml:space="preserve">3.1</w:t>
      </w:r>
      <w:r>
        <w:tab/>
      </w:r>
      <w:r>
        <w:t xml:space="preserve">Collagen Extraction</w:t>
      </w:r>
    </w:p>
    <w:bookmarkEnd w:id="23"/>
    <w:bookmarkStart w:id="25" w:name="fast-fourier-infrared-spectroscopy"/>
    <w:p>
      <w:pPr>
        <w:pStyle w:val="Heading2"/>
      </w:pPr>
      <w:r>
        <w:rPr>
          <w:rStyle w:val="SectionNumber"/>
        </w:rPr>
        <w:t xml:space="preserve">3.2</w:t>
      </w:r>
      <w:r>
        <w:tab/>
      </w:r>
      <w:r>
        <w:t xml:space="preserve">Fast Fourier Infrared Spectroscopy</w:t>
      </w:r>
    </w:p>
    <w:p>
      <w:pPr>
        <w:pStyle w:val="FirstParagraph"/>
      </w:pPr>
      <w:r>
        <w:t xml:space="preserve">Fast Fourier Infrared Spectroscopy (FTIR) irradiates a sample with a beam of infrared light. Photons of infrared light excite molecules into a higher energy state, and as a result, some wavelengths are absorbed while others are transmitted through the material unaffected. Since the molecular structure of a material determines which wavelengths are absorbed or transmitted, FTIR can be used to used to semi-quantitatively measure the chemical composition of a material and different absorbance bands can be assigned to specific chemical functional groups</w:t>
      </w:r>
      <w:r>
        <w:t xml:space="preserve"> </w:t>
      </w:r>
      <w:r>
        <w:t xml:space="preserve">(</w:t>
      </w:r>
      <w:hyperlink w:anchor="ref-stuart2004">
        <w:r>
          <w:rPr>
            <w:rStyle w:val="Hyperlink"/>
          </w:rPr>
          <w:t xml:space="preserve">Stuart, 2004</w:t>
        </w:r>
      </w:hyperlink>
      <w:r>
        <w:t xml:space="preserve">)</w:t>
      </w:r>
      <w:r>
        <w:t xml:space="preserve">. There has been considerable work using FTIR to investigate crystallographic and chemical changes to bioapatite and bone collagen during diagenesis</w:t>
      </w:r>
      <w:r>
        <w:t xml:space="preserve"> </w:t>
      </w:r>
      <w:r>
        <w:t xml:space="preserve">(</w:t>
      </w:r>
      <w:hyperlink w:anchor="ref-hassan1977">
        <w:r>
          <w:rPr>
            <w:rStyle w:val="Hyperlink"/>
          </w:rPr>
          <w:t xml:space="preserve">Hassan et al., 1977</w:t>
        </w:r>
      </w:hyperlink>
      <w:r>
        <w:t xml:space="preserve">;</w:t>
      </w:r>
      <w:r>
        <w:t xml:space="preserve"> </w:t>
      </w:r>
      <w:hyperlink w:anchor="ref-sonjuclasen1997">
        <w:r>
          <w:rPr>
            <w:rStyle w:val="Hyperlink"/>
          </w:rPr>
          <w:t xml:space="preserve">Sønju Clasen and Ruyter, 1997</w:t>
        </w:r>
      </w:hyperlink>
      <w:r>
        <w:t xml:space="preserve">;</w:t>
      </w:r>
      <w:r>
        <w:t xml:space="preserve"> </w:t>
      </w:r>
      <w:hyperlink w:anchor="ref-sponheimer1999">
        <w:r>
          <w:rPr>
            <w:rStyle w:val="Hyperlink"/>
          </w:rPr>
          <w:t xml:space="preserve">Sponheimer and Lee-Thorp, 1999</w:t>
        </w:r>
      </w:hyperlink>
      <w:r>
        <w:t xml:space="preserve">;</w:t>
      </w:r>
      <w:r>
        <w:t xml:space="preserve"> </w:t>
      </w:r>
      <w:hyperlink w:anchor="ref-roche2010">
        <w:r>
          <w:rPr>
            <w:rStyle w:val="Hyperlink"/>
          </w:rPr>
          <w:t xml:space="preserve">Roche et al., 2010</w:t>
        </w:r>
      </w:hyperlink>
      <w:r>
        <w:t xml:space="preserve">; e.g.,</w:t>
      </w:r>
      <w:r>
        <w:t xml:space="preserve"> </w:t>
      </w:r>
      <w:hyperlink w:anchor="ref-grunenwald2014">
        <w:r>
          <w:rPr>
            <w:rStyle w:val="Hyperlink"/>
          </w:rPr>
          <w:t xml:space="preserve">Grunenwald et al., 2014</w:t>
        </w:r>
      </w:hyperlink>
      <w:r>
        <w:t xml:space="preserve">)</w:t>
      </w:r>
      <w:r>
        <w:t xml:space="preserve">, and as a result the band positions of the major chemical groups of these materials is well understood (Table 1).</w:t>
      </w:r>
    </w:p>
    <w:bookmarkStart w:id="24" w:name="tbl:bands"/>
    <w:p>
      <w:pPr>
        <w:pStyle w:val="TableCaption"/>
      </w:pPr>
      <w:r>
        <w:t xml:space="preserve">Table 1: Nominal FTIR band positions of several relevant chemical groups.</w:t>
      </w:r>
    </w:p>
    <w:tbl>
      <w:tblPr>
        <w:tblStyle w:val="Table"/>
        <w:tblW w:type="auto" w:w="0"/>
        <w:tblLook w:firstRow="1" w:lastRow="0" w:firstColumn="0" w:lastColumn="0" w:noHBand="0" w:noVBand="0" w:val="0020"/>
        <w:tblCaption w:val="Table 1: Nominal FTIR band positions of several relevant chemical groups."/>
      </w:tblPr>
      <w:tblGrid>
        <w:gridCol w:w="2640"/>
        <w:gridCol w:w="2640"/>
        <w:gridCol w:w="2640"/>
      </w:tblGrid>
      <w:tr>
        <w:trPr>
          <w:tblHeader w:val="true"/>
        </w:trPr>
        <w:tc>
          <w:tcPr/>
          <w:p>
            <w:pPr>
              <w:pStyle w:val="Compact"/>
              <w:jc w:val="center"/>
            </w:pPr>
            <w:r>
              <w:t xml:space="preserve">band position (cm</w:t>
            </w:r>
            <w:r>
              <w:rPr>
                <w:vertAlign w:val="superscript"/>
              </w:rPr>
              <w:t xml:space="preserve">-1</w:t>
            </w:r>
            <w:r>
              <w:t xml:space="preserve">)</w:t>
            </w:r>
          </w:p>
        </w:tc>
        <w:tc>
          <w:tcPr/>
          <w:p>
            <w:pPr>
              <w:pStyle w:val="Compact"/>
              <w:jc w:val="center"/>
            </w:pPr>
            <w:r>
              <w:t xml:space="preserve">Chemical Group</w:t>
            </w:r>
          </w:p>
        </w:tc>
        <w:tc>
          <w:tcPr/>
          <w:p>
            <w:pPr>
              <w:pStyle w:val="Compact"/>
              <w:jc w:val="center"/>
            </w:pPr>
            <w:r>
              <w:t xml:space="preserve">Reference</w:t>
            </w:r>
          </w:p>
        </w:tc>
      </w:tr>
      <w:tr>
        <w:tc>
          <w:tcPr/>
          <w:p>
            <w:pPr>
              <w:pStyle w:val="Compact"/>
              <w:jc w:val="center"/>
            </w:pPr>
            <w:r>
              <w:t xml:space="preserve">1630</w:t>
            </w:r>
          </w:p>
        </w:tc>
        <w:tc>
          <w:tcPr/>
          <w:p>
            <w:pPr>
              <w:pStyle w:val="Compact"/>
              <w:jc w:val="center"/>
            </w:pPr>
            <w:r>
              <w:t xml:space="preserve">Amide I (CO–NH)</w:t>
            </w:r>
          </w:p>
        </w:tc>
        <w:tc>
          <w:tcPr/>
          <w:p>
            <w:pPr>
              <w:pStyle w:val="Compact"/>
              <w:jc w:val="center"/>
            </w:pPr>
            <w:r>
              <w:t xml:space="preserve">Botta et al. (</w:t>
            </w:r>
            <w:hyperlink w:anchor="ref-botta2012">
              <w:r>
                <w:rPr>
                  <w:rStyle w:val="Hyperlink"/>
                </w:rPr>
                <w:t xml:space="preserve">2012</w:t>
              </w:r>
            </w:hyperlink>
            <w:r>
              <w:t xml:space="preserve">)</w:t>
            </w:r>
          </w:p>
        </w:tc>
      </w:tr>
      <w:tr>
        <w:tc>
          <w:tcPr/>
          <w:p>
            <w:pPr>
              <w:pStyle w:val="Compact"/>
              <w:jc w:val="center"/>
            </w:pPr>
            <w:r>
              <w:t xml:space="preserve">1551</w:t>
            </w:r>
          </w:p>
        </w:tc>
        <w:tc>
          <w:tcPr/>
          <w:p>
            <w:pPr>
              <w:pStyle w:val="Compact"/>
              <w:jc w:val="center"/>
            </w:pPr>
            <w:r>
              <w:t xml:space="preserve">Amide II (CO–NH)</w:t>
            </w:r>
          </w:p>
        </w:tc>
        <w:tc>
          <w:tcPr/>
          <w:p>
            <w:pPr>
              <w:pStyle w:val="Compact"/>
              <w:jc w:val="center"/>
            </w:pPr>
            <w:r>
              <w:t xml:space="preserve">Botta et al. (</w:t>
            </w:r>
            <w:hyperlink w:anchor="ref-botta2012">
              <w:r>
                <w:rPr>
                  <w:rStyle w:val="Hyperlink"/>
                </w:rPr>
                <w:t xml:space="preserve">2012</w:t>
              </w:r>
            </w:hyperlink>
            <w:r>
              <w:t xml:space="preserve">)</w:t>
            </w:r>
          </w:p>
        </w:tc>
      </w:tr>
      <w:tr>
        <w:tc>
          <w:tcPr/>
          <w:p>
            <w:pPr>
              <w:pStyle w:val="Compact"/>
              <w:jc w:val="center"/>
            </w:pPr>
            <w:r>
              <w:t xml:space="preserve">1545</w:t>
            </w:r>
          </w:p>
        </w:tc>
        <w:tc>
          <w:tcPr/>
          <w:p>
            <w:pPr>
              <w:pStyle w:val="Compact"/>
              <w:jc w:val="center"/>
            </w:pPr>
            <w:r>
              <w:t xml:space="preserve">A-Type Carbonate (CO</w:t>
            </w:r>
            <w:r>
              <w:rPr>
                <w:vertAlign w:val="subscript"/>
              </w:rPr>
              <w:t xml:space="preserve">3</w:t>
            </w:r>
            <w:r>
              <w:t xml:space="preserve">)</w:t>
            </w:r>
          </w:p>
        </w:tc>
        <w:tc>
          <w:tcPr/>
          <w:p>
            <w:pPr>
              <w:pStyle w:val="Compact"/>
              <w:jc w:val="center"/>
            </w:pPr>
            <w:r>
              <w:t xml:space="preserve">(</w:t>
            </w:r>
            <w:hyperlink w:anchor="ref-legeros1991">
              <w:r>
                <w:rPr>
                  <w:rStyle w:val="Hyperlink"/>
                </w:rPr>
                <w:t xml:space="preserve">LeGeros, 1991</w:t>
              </w:r>
            </w:hyperlink>
            <w:r>
              <w:t xml:space="preserve">;</w:t>
            </w:r>
            <w:r>
              <w:t xml:space="preserve"> </w:t>
            </w:r>
            <w:hyperlink w:anchor="ref-rey1991">
              <w:r>
                <w:rPr>
                  <w:rStyle w:val="Hyperlink"/>
                </w:rPr>
                <w:t xml:space="preserve">Rey et al., 1991</w:t>
              </w:r>
            </w:hyperlink>
            <w:r>
              <w:t xml:space="preserve">)</w:t>
            </w:r>
          </w:p>
        </w:tc>
      </w:tr>
      <w:tr>
        <w:tc>
          <w:tcPr/>
          <w:p>
            <w:pPr>
              <w:pStyle w:val="Compact"/>
              <w:jc w:val="center"/>
            </w:pPr>
            <w:r>
              <w:t xml:space="preserve">1415</w:t>
            </w:r>
          </w:p>
        </w:tc>
        <w:tc>
          <w:tcPr/>
          <w:p>
            <w:pPr>
              <w:pStyle w:val="Compact"/>
              <w:jc w:val="center"/>
            </w:pPr>
            <w:r>
              <w:t xml:space="preserve">B-Type Carbonate (CO</w:t>
            </w:r>
            <w:r>
              <w:rPr>
                <w:vertAlign w:val="subscript"/>
              </w:rPr>
              <w:t xml:space="preserve">3</w:t>
            </w:r>
            <w:r>
              <w:t xml:space="preserve">)</w:t>
            </w:r>
          </w:p>
        </w:tc>
        <w:tc>
          <w:tcPr/>
          <w:p>
            <w:pPr>
              <w:pStyle w:val="Compact"/>
              <w:jc w:val="center"/>
            </w:pPr>
            <w:r>
              <w:t xml:space="preserve">(</w:t>
            </w:r>
            <w:hyperlink w:anchor="ref-legeros1991">
              <w:r>
                <w:rPr>
                  <w:rStyle w:val="Hyperlink"/>
                </w:rPr>
                <w:t xml:space="preserve">LeGeros, 1991</w:t>
              </w:r>
            </w:hyperlink>
            <w:r>
              <w:t xml:space="preserve">;</w:t>
            </w:r>
            <w:r>
              <w:t xml:space="preserve"> </w:t>
            </w:r>
            <w:hyperlink w:anchor="ref-rey1991">
              <w:r>
                <w:rPr>
                  <w:rStyle w:val="Hyperlink"/>
                </w:rPr>
                <w:t xml:space="preserve">Rey et al., 1991</w:t>
              </w:r>
            </w:hyperlink>
            <w:r>
              <w:t xml:space="preserve">)</w:t>
            </w:r>
          </w:p>
        </w:tc>
      </w:tr>
      <w:tr>
        <w:tc>
          <w:tcPr/>
          <w:p>
            <w:pPr>
              <w:pStyle w:val="Compact"/>
              <w:jc w:val="center"/>
            </w:pPr>
            <w:r>
              <w:t xml:space="preserve">1231</w:t>
            </w:r>
          </w:p>
        </w:tc>
        <w:tc>
          <w:tcPr/>
          <w:p>
            <w:pPr>
              <w:pStyle w:val="Compact"/>
              <w:jc w:val="center"/>
            </w:pPr>
            <w:r>
              <w:t xml:space="preserve">Amide III (CO–NH)</w:t>
            </w:r>
          </w:p>
        </w:tc>
        <w:tc>
          <w:tcPr/>
          <w:p>
            <w:pPr>
              <w:pStyle w:val="Compact"/>
              <w:jc w:val="center"/>
            </w:pPr>
            <w:r>
              <w:t xml:space="preserve">Botta et al. (</w:t>
            </w:r>
            <w:hyperlink w:anchor="ref-botta2012">
              <w:r>
                <w:rPr>
                  <w:rStyle w:val="Hyperlink"/>
                </w:rPr>
                <w:t xml:space="preserve">2012</w:t>
              </w:r>
            </w:hyperlink>
            <w:r>
              <w:t xml:space="preserve">)</w:t>
            </w:r>
          </w:p>
        </w:tc>
      </w:tr>
      <w:tr>
        <w:tc>
          <w:tcPr/>
          <w:p>
            <w:pPr>
              <w:pStyle w:val="Compact"/>
              <w:jc w:val="center"/>
            </w:pPr>
            <w:r>
              <w:t xml:space="preserve">1020</w:t>
            </w:r>
          </w:p>
        </w:tc>
        <w:tc>
          <w:tcPr/>
          <w:p>
            <w:pPr>
              <w:pStyle w:val="Compact"/>
              <w:jc w:val="center"/>
            </w:pPr>
            <w:r>
              <w:t xml:space="preserve">Phosphate (ν</w:t>
            </w:r>
            <w:r>
              <w:rPr>
                <w:vertAlign w:val="subscript"/>
              </w:rPr>
              <w:t xml:space="preserve">3</w:t>
            </w:r>
            <w:r>
              <w:t xml:space="preserve">PO</w:t>
            </w:r>
            <w:r>
              <w:rPr>
                <w:vertAlign w:val="subscript"/>
              </w:rPr>
              <w:t xml:space="preserve">4</w:t>
            </w:r>
            <w:r>
              <w:t xml:space="preserve">)</w:t>
            </w:r>
          </w:p>
        </w:tc>
        <w:tc>
          <w:tcPr/>
          <w:p>
            <w:pPr>
              <w:pStyle w:val="Compact"/>
            </w:pPr>
          </w:p>
        </w:tc>
      </w:tr>
      <w:tr>
        <w:tc>
          <w:tcPr/>
          <w:p>
            <w:pPr>
              <w:pStyle w:val="Compact"/>
              <w:jc w:val="center"/>
            </w:pPr>
            <w:r>
              <w:t xml:space="preserve">880</w:t>
            </w:r>
          </w:p>
        </w:tc>
        <w:tc>
          <w:tcPr/>
          <w:p>
            <w:pPr>
              <w:pStyle w:val="Compact"/>
              <w:jc w:val="center"/>
            </w:pPr>
            <w:r>
              <w:t xml:space="preserve">Carbonate (CO</w:t>
            </w:r>
            <w:r>
              <w:rPr>
                <w:vertAlign w:val="subscript"/>
              </w:rPr>
              <w:t xml:space="preserve">3</w:t>
            </w:r>
            <w:r>
              <w:t xml:space="preserve">)</w:t>
            </w:r>
          </w:p>
        </w:tc>
        <w:tc>
          <w:tcPr/>
          <w:p>
            <w:pPr>
              <w:pStyle w:val="Compact"/>
            </w:pPr>
          </w:p>
        </w:tc>
      </w:tr>
      <w:tr>
        <w:tc>
          <w:tcPr/>
          <w:p>
            <w:pPr>
              <w:pStyle w:val="Compact"/>
              <w:jc w:val="center"/>
            </w:pPr>
            <w:r>
              <w:t xml:space="preserve">565</w:t>
            </w:r>
          </w:p>
        </w:tc>
        <w:tc>
          <w:tcPr/>
          <w:p>
            <w:pPr>
              <w:pStyle w:val="Compact"/>
              <w:jc w:val="center"/>
            </w:pPr>
            <w:r>
              <w:t xml:space="preserve">Phosphate (ν</w:t>
            </w:r>
            <w:r>
              <w:rPr>
                <w:vertAlign w:val="subscript"/>
              </w:rPr>
              <w:t xml:space="preserve">2</w:t>
            </w:r>
            <w:r>
              <w:t xml:space="preserve">PO</w:t>
            </w:r>
            <w:r>
              <w:rPr>
                <w:vertAlign w:val="subscript"/>
              </w:rPr>
              <w:t xml:space="preserve">4</w:t>
            </w:r>
            <w:r>
              <w:t xml:space="preserve">)</w:t>
            </w:r>
          </w:p>
        </w:tc>
        <w:tc>
          <w:tcPr/>
          <w:p>
            <w:pPr>
              <w:pStyle w:val="Compact"/>
            </w:pPr>
          </w:p>
        </w:tc>
      </w:tr>
    </w:tbl>
    <w:bookmarkEnd w:id="24"/>
    <w:bookmarkEnd w:id="25"/>
    <w:bookmarkEnd w:id="26"/>
    <w:bookmarkStart w:id="36" w:name="sec:methods"/>
    <w:p>
      <w:pPr>
        <w:pStyle w:val="Heading1"/>
      </w:pPr>
      <w:r>
        <w:rPr>
          <w:rStyle w:val="SectionNumber"/>
        </w:rPr>
        <w:t xml:space="preserve">4</w:t>
      </w:r>
      <w:r>
        <w:tab/>
      </w:r>
      <w:r>
        <w:t xml:space="preserve">Methods</w:t>
      </w:r>
    </w:p>
    <w:p>
      <w:pPr>
        <w:pStyle w:val="CaptionedFigure"/>
      </w:pPr>
      <w:bookmarkStart w:id="30" w:name="fig:worlflow"/>
      <w:r>
        <w:drawing>
          <wp:inline>
            <wp:extent cx="3810000" cy="2540000"/>
            <wp:effectExtent b="0" l="0" r="0" t="0"/>
            <wp:docPr descr="Figure 1: Diagram of methods." title="" id="28" name="Picture"/>
            <a:graphic>
              <a:graphicData uri="http://schemas.openxmlformats.org/drawingml/2006/picture">
                <pic:pic>
                  <pic:nvPicPr>
                    <pic:cNvPr descr="./figures/workflow.pdf" id="29"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bookmarkEnd w:id="30"/>
    </w:p>
    <w:p>
      <w:pPr>
        <w:pStyle w:val="ImageCaption"/>
      </w:pPr>
      <w:r>
        <w:t xml:space="preserve">Figure 1: Diagram of methods.</w:t>
      </w:r>
    </w:p>
    <w:bookmarkStart w:id="31" w:name="sec:methods_collection"/>
    <w:p>
      <w:pPr>
        <w:pStyle w:val="Heading2"/>
      </w:pPr>
      <w:r>
        <w:rPr>
          <w:rStyle w:val="SectionNumber"/>
        </w:rPr>
        <w:t xml:space="preserve">4.1</w:t>
      </w:r>
      <w:r>
        <w:tab/>
      </w:r>
      <w:r>
        <w:t xml:space="preserve">Sample Collection</w:t>
      </w:r>
    </w:p>
    <w:p>
      <w:pPr>
        <w:pStyle w:val="FirstParagraph"/>
      </w:pPr>
      <w:r>
        <w:t xml:space="preserve">We selected three materials for analysis; dentine from a modern domestic goat (</w:t>
      </w:r>
      <w:r>
        <w:rPr>
          <w:iCs/>
          <w:i/>
        </w:rPr>
        <w:t xml:space="preserve">Capra hricus</w:t>
      </w:r>
      <w:r>
        <w:t xml:space="preserve">), bone from a white tailed deer (</w:t>
      </w:r>
      <w:r>
        <w:rPr>
          <w:iCs/>
          <w:i/>
        </w:rPr>
        <w:t xml:space="preserve">Odocoileus viginianus</w:t>
      </w:r>
      <w:r>
        <w:t xml:space="preserve">), and dentine from a blue shark (</w:t>
      </w:r>
      <w:r>
        <w:rPr>
          <w:iCs/>
          <w:i/>
        </w:rPr>
        <w:t xml:space="preserve">Prionace glauca</w:t>
      </w:r>
      <w:r>
        <w:t xml:space="preserve">). The goat tooth and deer bone were fortuitously collected while the blue shark teeth were collected as part of a previous study (</w:t>
      </w:r>
      <w:r>
        <w:rPr>
          <w:bCs/>
          <w:b/>
        </w:rPr>
        <w:t xml:space="preserve">citation from Sora?</w:t>
      </w:r>
      <w:r>
        <w:t xml:space="preserve">). We cleaned each sample of surficial contamination using a toothbrush grinding into a fine powder. The deer and blue shark samples were ground into a fine powder using a</w:t>
      </w:r>
      <w:r>
        <w:t xml:space="preserve"> </w:t>
      </w:r>
      <w:r>
        <w:rPr>
          <w:iCs/>
          <w:i/>
        </w:rPr>
        <w:t xml:space="preserve">SPEX 8000M Mixer Mill</w:t>
      </w:r>
      <w:r>
        <w:t xml:space="preserve"> </w:t>
      </w:r>
      <w:r>
        <w:t xml:space="preserve">for 20 minutes. For shark teeth we homogenized several teeth from the same individual in order to obtain enough material for our time-step experiments. The goat dentine was hand milled form in between enamel loops and did not require further grinding. The resulting powders were further homogenized via repeated stirring using vortexer to ensure that ontogenetic difference in isotope composition were minimized.</w:t>
      </w:r>
    </w:p>
    <w:bookmarkEnd w:id="31"/>
    <w:bookmarkStart w:id="32" w:name="sec:methods_preparation"/>
    <w:p>
      <w:pPr>
        <w:pStyle w:val="Heading2"/>
      </w:pPr>
      <w:r>
        <w:rPr>
          <w:rStyle w:val="SectionNumber"/>
        </w:rPr>
        <w:t xml:space="preserve">4.2</w:t>
      </w:r>
      <w:r>
        <w:tab/>
      </w:r>
      <w:r>
        <w:t xml:space="preserve">Demineralization</w:t>
      </w:r>
    </w:p>
    <w:p>
      <w:pPr>
        <w:pStyle w:val="FirstParagraph"/>
      </w:pPr>
      <w:r>
        <w:t xml:space="preserve">We demineralized aliquots of each bioapatite (deer bone, goat and shark dentine) using 0.1M hydrochloric acid at 4°C. We demineralized in 5 minutes increments from 5 to 60 minutes and in 10 minute increments from 70 to 120 minutes. For each time step we weighed 2.5 - 3 mg of powdered bioapatite into 1.7 mL micro-centrifuge tubes and added 1 mL of 0.1M HCl. The bioapatite was then placed in a 4°C refrigerator for the specified amount of time. Five minutes before the specified amount of time, the samples were centrifuged for 5 minutes at 10,000 RPM and promptly rinsed using demonized water. for example, for the 60 minute time step, the samples spent 55 minutes in the refrigerator and the 5 minutes in the centrifuge for a total of 60 minutes in acid. After rising the samples were frozen and lyophilized prior to FTIR and stable isotope analysis.</w:t>
      </w:r>
    </w:p>
    <w:bookmarkEnd w:id="32"/>
    <w:bookmarkStart w:id="34" w:name="sec:methods_ftir"/>
    <w:p>
      <w:pPr>
        <w:pStyle w:val="Heading2"/>
      </w:pPr>
      <w:r>
        <w:rPr>
          <w:rStyle w:val="SectionNumber"/>
        </w:rPr>
        <w:t xml:space="preserve">4.3</w:t>
      </w:r>
      <w:r>
        <w:tab/>
      </w:r>
      <w:r>
        <w:t xml:space="preserve">FTIR</w:t>
      </w:r>
    </w:p>
    <w:p>
      <w:pPr>
        <w:pStyle w:val="FirstParagraph"/>
      </w:pPr>
      <w:r>
        <w:t xml:space="preserve">We collected infrared absorbance spectra from 400 to 4000 cm</w:t>
      </w:r>
      <w:r>
        <w:rPr>
          <w:vertAlign w:val="superscript"/>
        </w:rPr>
        <w:t xml:space="preserve">-1</w:t>
      </w:r>
      <w:r>
        <w:t xml:space="preserve"> </w:t>
      </w:r>
      <w:r>
        <w:t xml:space="preserve">for 32 scans at a resolution of 4 cm</w:t>
      </w:r>
      <w:r>
        <w:rPr>
          <w:vertAlign w:val="superscript"/>
        </w:rPr>
        <w:t xml:space="preserve">-1</w:t>
      </w:r>
      <w:r>
        <w:t xml:space="preserve"> </w:t>
      </w:r>
      <w:r>
        <w:t xml:space="preserve">from each aliquot to characterize changes to bulk chemistry. In particular,</w:t>
      </w:r>
    </w:p>
    <w:p>
      <w:pPr>
        <w:pStyle w:val="BodyText"/>
      </w:pPr>
      <w:r>
        <w:t xml:space="preserve">We collected infrared absorbance spectra from 4000 to 400 cm</w:t>
      </w:r>
      <w:r>
        <w:rPr>
          <w:vertAlign w:val="superscript"/>
        </w:rPr>
        <w:t xml:space="preserve">-1</w:t>
      </w:r>
      <w:r>
        <w:t xml:space="preserve"> </w:t>
      </w:r>
      <w:r>
        <w:t xml:space="preserve">for 32 scans at a resolution of 4 cm</w:t>
      </w:r>
      <w:r>
        <w:rPr>
          <w:vertAlign w:val="superscript"/>
        </w:rPr>
        <w:t xml:space="preserve">-1</w:t>
      </w:r>
      <w:r>
        <w:t xml:space="preserve"> </w:t>
      </w:r>
      <w:r>
        <w:t xml:space="preserve">from each aliquot to characterize changes to bulk chemistry, and in particular, the loss of phosphate and carbonate functional groups over time. We subtracted the background of each spectra by fitting a smoothed spline to several baseline points and smoothed each spectra slightly</w:t>
      </w:r>
      <w:r>
        <w:t xml:space="preserve"> </w:t>
      </w:r>
      <w:r>
        <w:t xml:space="preserve">(</w:t>
      </w:r>
      <w:hyperlink w:anchor="ref-stuart2004">
        <w:r>
          <w:rPr>
            <w:rStyle w:val="Hyperlink"/>
          </w:rPr>
          <w:t xml:space="preserve">Stuart, 2004</w:t>
        </w:r>
      </w:hyperlink>
      <w:r>
        <w:t xml:space="preserve">)</w:t>
      </w:r>
      <w:r>
        <w:t xml:space="preserve"> </w:t>
      </w:r>
      <w:r>
        <w:t xml:space="preserve">using a custom R script</w:t>
      </w:r>
      <w:r>
        <w:t xml:space="preserve"> </w:t>
      </w:r>
      <w:r>
        <w:t xml:space="preserve">(</w:t>
      </w:r>
      <w:hyperlink w:anchor="ref-rcoreteam2021">
        <w:r>
          <w:rPr>
            <w:rStyle w:val="Hyperlink"/>
          </w:rPr>
          <w:t xml:space="preserve">R Core Team, 2021</w:t>
        </w:r>
      </w:hyperlink>
      <w:r>
        <w:t xml:space="preserve">)</w:t>
      </w:r>
      <w:r>
        <w:t xml:space="preserve">. Several indices have been proposed proposed to characterize the chemical-crystal properties of bone apatite and collagen (Table 2). However most of these indices focus on characterizing the</w:t>
      </w:r>
    </w:p>
    <w:p>
      <w:pPr>
        <w:pStyle w:val="BodyText"/>
      </w:pPr>
      <w:r>
        <w:t xml:space="preserve">We collected FTIR absorbance spectra from an aliquot at each time step to characterize changes to bulk chemistry. We used Bruker Vertex 70 Far-Infrared FTIR housed in the Nuclear Magnetic Resonance Facility at the University of California, Merced. We collected infrared absorbance spectra from 4000 cm</w:t>
      </w:r>
      <w:r>
        <w:rPr>
          <w:vertAlign w:val="superscript"/>
        </w:rPr>
        <w:t xml:space="preserve">-1</w:t>
      </w:r>
      <w:r>
        <w:t xml:space="preserve"> </w:t>
      </w:r>
      <w:r>
        <w:t xml:space="preserve">to 400 cm</w:t>
      </w:r>
      <w:r>
        <w:rPr>
          <w:vertAlign w:val="superscript"/>
        </w:rPr>
        <w:t xml:space="preserve">-1</w:t>
      </w:r>
      <w:r>
        <w:t xml:space="preserve"> </w:t>
      </w:r>
      <w:r>
        <w:t xml:space="preserve">for 32 scans at a resolution of 1 cm</w:t>
      </w:r>
      <w:r>
        <w:rPr>
          <w:vertAlign w:val="superscript"/>
        </w:rPr>
        <w:t xml:space="preserve">-1</w:t>
      </w:r>
      <w:r>
        <w:t xml:space="preserve">. We subtracted the background of each spectra by fitting a smoothed spline to several baseline points using a custom R script</w:t>
      </w:r>
      <w:r>
        <w:t xml:space="preserve"> </w:t>
      </w:r>
      <w:r>
        <w:t xml:space="preserve">(</w:t>
      </w:r>
      <w:hyperlink w:anchor="ref-rcoreteam2021">
        <w:r>
          <w:rPr>
            <w:rStyle w:val="Hyperlink"/>
          </w:rPr>
          <w:t xml:space="preserve">R Core Team, 2021</w:t>
        </w:r>
      </w:hyperlink>
      <w:r>
        <w:t xml:space="preserve">)</w:t>
      </w:r>
      <w:r>
        <w:t xml:space="preserve">, which is included in the supplementary material. A variety indices have been proposed to characterize the crystal-chemical properties of bone apatite and collagen (Table 2).</w:t>
      </w:r>
      <w:r>
        <w:t xml:space="preserve"> </w:t>
      </w:r>
      <w:r>
        <w:t xml:space="preserve">Sponheimer and Lee-Thorp (</w:t>
      </w:r>
      <w:hyperlink w:anchor="ref-sponheimer1999">
        <w:r>
          <w:rPr>
            <w:rStyle w:val="Hyperlink"/>
          </w:rPr>
          <w:t xml:space="preserve">1999</w:t>
        </w:r>
      </w:hyperlink>
      <w:r>
        <w:t xml:space="preserve">)</w:t>
      </w:r>
      <w:r>
        <w:t xml:space="preserve"> </w:t>
      </w:r>
      <w:r>
        <w:t xml:space="preserve">used</w:t>
      </w:r>
    </w:p>
    <w:p>
      <w:pPr>
        <w:pStyle w:val="BodyText"/>
      </w:pPr>
      <w:r>
        <w:t xml:space="preserve">We used the ratio of the amide-I indices related to total carbonate and phosphate content as well as organic (collagen) content.</w:t>
      </w:r>
    </w:p>
    <w:bookmarkStart w:id="33" w:name="tbl:indices"/>
    <w:p>
      <w:pPr>
        <w:pStyle w:val="TableCaption"/>
      </w:pPr>
      <w:r>
        <w:t xml:space="preserve">Table 2: FTIR indices used in this study.</w:t>
      </w:r>
      <w:r>
        <w:t xml:space="preserve"> </w:t>
      </w:r>
      <w:r>
        <w:rPr>
          <w:iCs/>
          <w:i/>
        </w:rPr>
        <w:t xml:space="preserve">B</w:t>
      </w:r>
      <w:r>
        <w:t xml:space="preserve"> </w:t>
      </w:r>
      <w:r>
        <w:t xml:space="preserve">indicates the absorbance band height at the specified wavenumber, while</w:t>
      </w:r>
      <w:r>
        <w:t xml:space="preserve"> </w:t>
      </w:r>
      <w:r>
        <w:rPr>
          <w:iCs/>
          <w:i/>
        </w:rPr>
        <w:t xml:space="preserve">V</w:t>
      </w:r>
      <w:r>
        <w:t xml:space="preserve"> </w:t>
      </w:r>
      <w:r>
        <w:t xml:space="preserve">indicates the depth of the</w:t>
      </w:r>
      <w:r>
        <w:t xml:space="preserve"> </w:t>
      </w:r>
      <w:r>
        <w:t xml:space="preserve">“</w:t>
      </w:r>
      <w:r>
        <w:t xml:space="preserve">valley</w:t>
      </w:r>
      <w:r>
        <w:t xml:space="preserve">”</w:t>
      </w:r>
      <w:r>
        <w:t xml:space="preserve">. Since the maximum height of a particular absorbance band may not occur at exactly the reported wavenumber, we instead calculated the indices above using the local maxima or minima within ±15 cm</w:t>
      </w:r>
      <w:r>
        <w:rPr>
          <w:vertAlign w:val="superscript"/>
        </w:rPr>
        <w:t xml:space="preserve">-1</w:t>
      </w:r>
      <w:r>
        <w:t xml:space="preserve">.</w:t>
      </w:r>
    </w:p>
    <w:tbl>
      <w:tblPr>
        <w:tblStyle w:val="Table"/>
        <w:tblW w:type="auto" w:w="0"/>
        <w:tblLook w:firstRow="1" w:lastRow="0" w:firstColumn="0" w:lastColumn="0" w:noHBand="0" w:noVBand="0" w:val="0020"/>
        <w:tblCaption w:val="Table 2: FTIR indices used in this study. B indicates the absorbance band height at the specified wavenumber, while V indicates the depth of the “valley”. Since the maximum height of a particular absorbance band may not occur at exactly the reported wavenumber, we instead calculated the indices above using the local maxima or minima within ±15 cm-1."/>
      </w:tblPr>
      <w:tblGrid>
        <w:gridCol w:w="2640"/>
        <w:gridCol w:w="2640"/>
        <w:gridCol w:w="2640"/>
      </w:tblGrid>
      <w:tr>
        <w:trPr>
          <w:tblHeader w:val="true"/>
        </w:trPr>
        <w:tc>
          <w:tcPr/>
          <w:p>
            <w:pPr>
              <w:pStyle w:val="Compact"/>
              <w:jc w:val="center"/>
            </w:pPr>
            <w:r>
              <w:t xml:space="preserve">Index</w:t>
            </w:r>
          </w:p>
        </w:tc>
        <w:tc>
          <w:tcPr/>
          <w:p>
            <w:pPr>
              <w:pStyle w:val="Compact"/>
              <w:jc w:val="center"/>
            </w:pPr>
            <w:r>
              <w:t xml:space="preserve">Formula</w:t>
            </w:r>
          </w:p>
        </w:tc>
        <w:tc>
          <w:tcPr/>
          <w:p>
            <w:pPr>
              <w:pStyle w:val="Compact"/>
              <w:jc w:val="center"/>
            </w:pPr>
            <w:r>
              <w:t xml:space="preserve">Reference</w:t>
            </w:r>
          </w:p>
        </w:tc>
      </w:tr>
      <w:tr>
        <w:tc>
          <w:tcPr/>
          <w:p>
            <w:pPr>
              <w:pStyle w:val="Compact"/>
              <w:jc w:val="center"/>
            </w:pPr>
            <w:r>
              <w:t xml:space="preserve">PCI</w:t>
            </w:r>
          </w:p>
        </w:tc>
        <w:tc>
          <w:tcPr/>
          <w:p>
            <w:pPr>
              <w:pStyle w:val="Compact"/>
              <w:jc w:val="center"/>
            </w:pPr>
            <m:oMath>
              <m:f>
                <m:fPr>
                  <m:type m:val="bar"/>
                </m:fPr>
                <m:num>
                  <m:sSub>
                    <m:e>
                      <m:r>
                        <m:t>B</m:t>
                      </m:r>
                    </m:e>
                    <m:sub>
                      <m:r>
                        <m:t>605</m:t>
                      </m:r>
                    </m:sub>
                  </m:sSub>
                  <m:r>
                    <m:rPr>
                      <m:sty m:val="p"/>
                    </m:rPr>
                    <m:t>+</m:t>
                  </m:r>
                  <m:sSub>
                    <m:e>
                      <m:r>
                        <m:t>B</m:t>
                      </m:r>
                    </m:e>
                    <m:sub>
                      <m:r>
                        <m:t>565</m:t>
                      </m:r>
                    </m:sub>
                  </m:sSub>
                </m:num>
                <m:den>
                  <m:sSub>
                    <m:e>
                      <m:r>
                        <m:t>V</m:t>
                      </m:r>
                    </m:e>
                    <m:sub>
                      <m:r>
                        <m:t>590</m:t>
                      </m:r>
                    </m:sub>
                  </m:sSub>
                </m:den>
              </m:f>
            </m:oMath>
          </w:p>
        </w:tc>
        <w:tc>
          <w:tcPr/>
          <w:p>
            <w:pPr>
              <w:pStyle w:val="Compact"/>
              <w:jc w:val="center"/>
            </w:pPr>
            <w:r>
              <w:t xml:space="preserve">Sponheimer and Lee-Thorp (</w:t>
            </w:r>
            <w:hyperlink w:anchor="ref-sponheimer1999">
              <w:r>
                <w:rPr>
                  <w:rStyle w:val="Hyperlink"/>
                </w:rPr>
                <w:t xml:space="preserve">1999</w:t>
              </w:r>
            </w:hyperlink>
            <w:r>
              <w:t xml:space="preserve">)</w:t>
            </w:r>
          </w:p>
        </w:tc>
      </w:tr>
      <w:tr>
        <w:tc>
          <w:tcPr/>
          <w:p>
            <w:pPr>
              <w:pStyle w:val="Compact"/>
              <w:jc w:val="center"/>
            </w:pPr>
            <w:r>
              <w:t xml:space="preserve">BPI</w:t>
            </w:r>
          </w:p>
        </w:tc>
        <w:tc>
          <w:tcPr/>
          <w:p>
            <w:pPr>
              <w:pStyle w:val="Compact"/>
              <w:jc w:val="center"/>
            </w:pPr>
            <m:oMath>
              <m:f>
                <m:fPr>
                  <m:type m:val="bar"/>
                </m:fPr>
                <m:num>
                  <m:sSub>
                    <m:e>
                      <m:r>
                        <m:t>B</m:t>
                      </m:r>
                    </m:e>
                    <m:sub>
                      <m:r>
                        <m:t>1415</m:t>
                      </m:r>
                    </m:sub>
                  </m:sSub>
                </m:num>
                <m:den>
                  <m:sSub>
                    <m:e>
                      <m:r>
                        <m:t>B</m:t>
                      </m:r>
                    </m:e>
                    <m:sub>
                      <m:r>
                        <m:t>605</m:t>
                      </m:r>
                    </m:sub>
                  </m:sSub>
                </m:den>
              </m:f>
            </m:oMath>
          </w:p>
        </w:tc>
        <w:tc>
          <w:tcPr/>
          <w:p>
            <w:pPr>
              <w:pStyle w:val="Compact"/>
              <w:jc w:val="center"/>
            </w:pPr>
            <w:r>
              <w:t xml:space="preserve">LeGeros (</w:t>
            </w:r>
            <w:hyperlink w:anchor="ref-legeros1991">
              <w:r>
                <w:rPr>
                  <w:rStyle w:val="Hyperlink"/>
                </w:rPr>
                <w:t xml:space="preserve">1991</w:t>
              </w:r>
            </w:hyperlink>
            <w:r>
              <w:t xml:space="preserve">)</w:t>
            </w:r>
          </w:p>
        </w:tc>
      </w:tr>
      <w:tr>
        <w:tc>
          <w:tcPr/>
          <w:p>
            <w:pPr>
              <w:pStyle w:val="Compact"/>
              <w:jc w:val="center"/>
            </w:pPr>
            <w:r>
              <w:t xml:space="preserve">API</w:t>
            </w:r>
          </w:p>
        </w:tc>
        <w:tc>
          <w:tcPr/>
          <w:p>
            <w:pPr>
              <w:pStyle w:val="Compact"/>
              <w:jc w:val="center"/>
            </w:pPr>
            <m:oMath>
              <m:f>
                <m:fPr>
                  <m:type m:val="bar"/>
                </m:fPr>
                <m:num>
                  <m:sSub>
                    <m:e>
                      <m:r>
                        <m:t>B</m:t>
                      </m:r>
                    </m:e>
                    <m:sub>
                      <m:r>
                        <m:t>1545</m:t>
                      </m:r>
                    </m:sub>
                  </m:sSub>
                </m:num>
                <m:den>
                  <m:sSub>
                    <m:e>
                      <m:r>
                        <m:t>B</m:t>
                      </m:r>
                    </m:e>
                    <m:sub>
                      <m:r>
                        <m:t>605</m:t>
                      </m:r>
                    </m:sub>
                  </m:sSub>
                </m:den>
              </m:f>
            </m:oMath>
          </w:p>
        </w:tc>
        <w:tc>
          <w:tcPr/>
          <w:p>
            <w:pPr>
              <w:pStyle w:val="Compact"/>
              <w:jc w:val="center"/>
            </w:pPr>
            <w:r>
              <w:t xml:space="preserve">Sponheimer and Lee-Thorp (</w:t>
            </w:r>
            <w:hyperlink w:anchor="ref-sponheimer1999">
              <w:r>
                <w:rPr>
                  <w:rStyle w:val="Hyperlink"/>
                </w:rPr>
                <w:t xml:space="preserve">1999</w:t>
              </w:r>
            </w:hyperlink>
            <w:r>
              <w:t xml:space="preserve">)</w:t>
            </w:r>
          </w:p>
        </w:tc>
      </w:tr>
      <w:tr>
        <w:tc>
          <w:tcPr/>
          <w:p>
            <w:pPr>
              <w:pStyle w:val="Compact"/>
              <w:jc w:val="center"/>
            </w:pPr>
            <w:r>
              <w:t xml:space="preserve">WAMPI</w:t>
            </w:r>
          </w:p>
        </w:tc>
        <w:tc>
          <w:tcPr/>
          <w:p>
            <w:pPr>
              <w:pStyle w:val="Compact"/>
              <w:jc w:val="center"/>
            </w:pPr>
            <m:oMath>
              <m:f>
                <m:fPr>
                  <m:type m:val="bar"/>
                </m:fPr>
                <m:num>
                  <m:sSub>
                    <m:e>
                      <m:r>
                        <m:t>B</m:t>
                      </m:r>
                    </m:e>
                    <m:sub>
                      <m:r>
                        <m:t>1650</m:t>
                      </m:r>
                    </m:sub>
                  </m:sSub>
                </m:num>
                <m:den>
                  <m:sSub>
                    <m:e>
                      <m:r>
                        <m:t>B</m:t>
                      </m:r>
                    </m:e>
                    <m:sub>
                      <m:r>
                        <m:t>605</m:t>
                      </m:r>
                    </m:sub>
                  </m:sSub>
                </m:den>
              </m:f>
            </m:oMath>
          </w:p>
        </w:tc>
        <w:tc>
          <w:tcPr/>
          <w:p>
            <w:pPr>
              <w:pStyle w:val="Compact"/>
              <w:jc w:val="center"/>
            </w:pPr>
            <w:r>
              <w:t xml:space="preserve">Roche et al. (</w:t>
            </w:r>
            <w:hyperlink w:anchor="ref-roche2010">
              <w:r>
                <w:rPr>
                  <w:rStyle w:val="Hyperlink"/>
                </w:rPr>
                <w:t xml:space="preserve">2010</w:t>
              </w:r>
            </w:hyperlink>
            <w:r>
              <w:t xml:space="preserve">)</w:t>
            </w:r>
          </w:p>
        </w:tc>
      </w:tr>
      <w:tr>
        <w:tc>
          <w:tcPr/>
          <w:p>
            <w:pPr>
              <w:pStyle w:val="Compact"/>
              <w:jc w:val="center"/>
            </w:pPr>
            <m:oMath>
              <m:f>
                <m:fPr>
                  <m:type m:val="bar"/>
                </m:fPr>
                <m:num>
                  <m:r>
                    <m:t>a</m:t>
                  </m:r>
                  <m:r>
                    <m:t>m</m:t>
                  </m:r>
                  <m:r>
                    <m:t>i</m:t>
                  </m:r>
                  <m:r>
                    <m:t>d</m:t>
                  </m:r>
                  <m:r>
                    <m:t>e</m:t>
                  </m:r>
                  <m:r>
                    <m:t> </m:t>
                  </m:r>
                  <m:r>
                    <m:t>1</m:t>
                  </m:r>
                </m:num>
                <m:den>
                  <m:r>
                    <m:t>P</m:t>
                  </m:r>
                  <m:sSub>
                    <m:e>
                      <m:r>
                        <m:t>O</m:t>
                      </m:r>
                    </m:e>
                    <m:sub>
                      <m:r>
                        <m:t>4</m:t>
                      </m:r>
                    </m:sub>
                  </m:sSub>
                </m:den>
              </m:f>
            </m:oMath>
          </w:p>
        </w:tc>
        <w:tc>
          <w:tcPr/>
          <w:p>
            <w:pPr>
              <w:pStyle w:val="Compact"/>
              <w:jc w:val="center"/>
            </w:pPr>
            <m:oMath>
              <m:f>
                <m:fPr>
                  <m:type m:val="bar"/>
                </m:fPr>
                <m:num>
                  <m:sSub>
                    <m:e>
                      <m:r>
                        <m:t>B</m:t>
                      </m:r>
                    </m:e>
                    <m:sub>
                      <m:r>
                        <m:t>1650</m:t>
                      </m:r>
                    </m:sub>
                  </m:sSub>
                </m:num>
                <m:den>
                  <m:sSub>
                    <m:e>
                      <m:r>
                        <m:t>B</m:t>
                      </m:r>
                    </m:e>
                    <m:sub>
                      <m:r>
                        <m:t>1000</m:t>
                      </m:r>
                    </m:sub>
                  </m:sSub>
                </m:den>
              </m:f>
            </m:oMath>
          </w:p>
        </w:tc>
        <w:tc>
          <w:tcPr/>
          <w:p>
            <w:pPr>
              <w:pStyle w:val="Compact"/>
              <w:jc w:val="center"/>
            </w:pPr>
            <w:r>
              <w:t xml:space="preserve">Lebon et al. (</w:t>
            </w:r>
            <w:hyperlink w:anchor="ref-lebon2016">
              <w:r>
                <w:rPr>
                  <w:rStyle w:val="Hyperlink"/>
                </w:rPr>
                <w:t xml:space="preserve">2016</w:t>
              </w:r>
            </w:hyperlink>
            <w:r>
              <w:t xml:space="preserve">)</w:t>
            </w:r>
          </w:p>
        </w:tc>
      </w:tr>
    </w:tbl>
    <w:bookmarkEnd w:id="33"/>
    <w:bookmarkEnd w:id="34"/>
    <w:bookmarkStart w:id="35" w:name="sec:methods_isotopes"/>
    <w:p>
      <w:pPr>
        <w:pStyle w:val="Heading2"/>
      </w:pPr>
      <w:r>
        <w:rPr>
          <w:rStyle w:val="SectionNumber"/>
        </w:rPr>
        <w:t xml:space="preserve">4.4</w:t>
      </w:r>
      <w:r>
        <w:tab/>
      </w:r>
      <w:r>
        <w:t xml:space="preserve">Stable Isotope Analysis</w:t>
      </w:r>
    </w:p>
    <w:p>
      <w:pPr>
        <w:pStyle w:val="FirstParagraph"/>
      </w:pPr>
      <w:r>
        <w:t xml:space="preserve">the δ</w:t>
      </w:r>
      <w:r>
        <w:rPr>
          <w:vertAlign w:val="superscript"/>
        </w:rPr>
        <w:t xml:space="preserve">13</w:t>
      </w:r>
      <w:r>
        <w:t xml:space="preserve">C and δ</w:t>
      </w:r>
      <w:r>
        <w:rPr>
          <w:vertAlign w:val="superscript"/>
        </w:rPr>
        <w:t xml:space="preserve">15</w:t>
      </w:r>
      <w:r>
        <w:t xml:space="preserve">N values and elemental carbon and nitrogen contents of all samples were measured using a Costech 4010 Elemental Analyzer coupled with a Delta V+ Isotope Ratio Mass Spectrometer housed in the Stable Isotope Ecosystem Laboratory at the University of California, Merced. Carbon and nitrogen isotope compositions were corrected for instrument drift, mass linearity, and standardized to the international VPDB and AIR scales using the USGS 40 and USGS 41a standard reference materials. Mean carbon and nitrogen isotope compositions were XXXXXX XXXXXX, XXXXX, XXXXX for USGS 40 and 41a, respectively. We also analyzed several aliquots of a homogenized squid tissue as an in house reference which returned δ</w:t>
      </w:r>
      <w:r>
        <w:rPr>
          <w:vertAlign w:val="superscript"/>
        </w:rPr>
        <w:t xml:space="preserve">13</w:t>
      </w:r>
      <w:r>
        <w:t xml:space="preserve">C and δ</w:t>
      </w:r>
      <w:r>
        <w:rPr>
          <w:vertAlign w:val="superscript"/>
        </w:rPr>
        <w:t xml:space="preserve">15</w:t>
      </w:r>
      <w:r>
        <w:t xml:space="preserve">N of YYYY and YYYY which are indistinguishable from the long-term average (ZZZZ).</w:t>
      </w:r>
    </w:p>
    <w:bookmarkEnd w:id="35"/>
    <w:bookmarkEnd w:id="36"/>
    <w:bookmarkStart w:id="45" w:name="sec:results"/>
    <w:p>
      <w:pPr>
        <w:pStyle w:val="Heading1"/>
      </w:pPr>
      <w:r>
        <w:rPr>
          <w:rStyle w:val="SectionNumber"/>
        </w:rPr>
        <w:t xml:space="preserve">5</w:t>
      </w:r>
      <w:r>
        <w:tab/>
      </w:r>
      <w:r>
        <w:t xml:space="preserve">Results</w:t>
      </w:r>
    </w:p>
    <w:p>
      <w:pPr>
        <w:pStyle w:val="CaptionedFigure"/>
      </w:pPr>
      <w:bookmarkStart w:id="40" w:name="fig:spectra"/>
      <w:r>
        <w:drawing>
          <wp:inline>
            <wp:extent cx="5334000" cy="4000500"/>
            <wp:effectExtent b="0" l="0" r="0" t="0"/>
            <wp:docPr descr="Figure 2: FTIR spectra for Capra hircus dentine and dental collagen. EVENTUALLY THIS FIGURE WILL HAVE SPECTRA FOR ALL 3 MATERIALS" title="" id="38" name="Picture"/>
            <a:graphic>
              <a:graphicData uri="http://schemas.openxmlformats.org/drawingml/2006/picture">
                <pic:pic>
                  <pic:nvPicPr>
                    <pic:cNvPr descr="./figures/all_spectra.pdf" id="39" name="Picture"/>
                    <pic:cNvPicPr>
                      <a:picLocks noChangeArrowheads="1" noChangeAspect="1"/>
                    </pic:cNvPicPr>
                  </pic:nvPicPr>
                  <pic:blipFill>
                    <a:blip r:embed="rId37"/>
                    <a:stretch>
                      <a:fillRect/>
                    </a:stretch>
                  </pic:blipFill>
                  <pic:spPr bwMode="auto">
                    <a:xfrm>
                      <a:off x="0" y="0"/>
                      <a:ext cx="5334000" cy="4000500"/>
                    </a:xfrm>
                    <a:prstGeom prst="rect">
                      <a:avLst/>
                    </a:prstGeom>
                    <a:noFill/>
                    <a:ln w="9525">
                      <a:noFill/>
                      <a:headEnd/>
                      <a:tailEnd/>
                    </a:ln>
                  </pic:spPr>
                </pic:pic>
              </a:graphicData>
            </a:graphic>
          </wp:inline>
        </w:drawing>
      </w:r>
      <w:bookmarkEnd w:id="40"/>
    </w:p>
    <w:p>
      <w:pPr>
        <w:pStyle w:val="ImageCaption"/>
      </w:pPr>
      <w:r>
        <w:t xml:space="preserve">Figure 2: FTIR spectra for</w:t>
      </w:r>
      <w:r>
        <w:t xml:space="preserve"> </w:t>
      </w:r>
      <w:r>
        <w:rPr>
          <w:iCs/>
          <w:i/>
        </w:rPr>
        <w:t xml:space="preserve">Capra hircus</w:t>
      </w:r>
      <w:r>
        <w:t xml:space="preserve"> </w:t>
      </w:r>
      <w:r>
        <w:t xml:space="preserve">dentine and dental collagen.</w:t>
      </w:r>
      <w:r>
        <w:t xml:space="preserve"> </w:t>
      </w:r>
      <w:r>
        <w:rPr>
          <w:bCs/>
          <w:b/>
        </w:rPr>
        <w:t xml:space="preserve">EVENTUALLY THIS FIGURE WILL HAVE SPECTRA FOR ALL 3 MATERIALS</w:t>
      </w:r>
    </w:p>
    <w:p>
      <w:pPr>
        <w:pStyle w:val="CaptionedFigure"/>
      </w:pPr>
      <w:bookmarkStart w:id="44" w:name="fig:index"/>
      <w:r>
        <w:drawing>
          <wp:inline>
            <wp:extent cx="5334000" cy="1778000"/>
            <wp:effectExtent b="0" l="0" r="0" t="0"/>
            <wp:docPr descr="Figure 3: Amide I - ν2PO4 ratios for all FTIR spectra." title="" id="42" name="Picture"/>
            <a:graphic>
              <a:graphicData uri="http://schemas.openxmlformats.org/drawingml/2006/picture">
                <pic:pic>
                  <pic:nvPicPr>
                    <pic:cNvPr descr="./figures/ratio.pdf" id="43" name="Picture"/>
                    <pic:cNvPicPr>
                      <a:picLocks noChangeArrowheads="1" noChangeAspect="1"/>
                    </pic:cNvPicPr>
                  </pic:nvPicPr>
                  <pic:blipFill>
                    <a:blip r:embed="rId41"/>
                    <a:stretch>
                      <a:fillRect/>
                    </a:stretch>
                  </pic:blipFill>
                  <pic:spPr bwMode="auto">
                    <a:xfrm>
                      <a:off x="0" y="0"/>
                      <a:ext cx="5334000" cy="1778000"/>
                    </a:xfrm>
                    <a:prstGeom prst="rect">
                      <a:avLst/>
                    </a:prstGeom>
                    <a:noFill/>
                    <a:ln w="9525">
                      <a:noFill/>
                      <a:headEnd/>
                      <a:tailEnd/>
                    </a:ln>
                  </pic:spPr>
                </pic:pic>
              </a:graphicData>
            </a:graphic>
          </wp:inline>
        </w:drawing>
      </w:r>
      <w:bookmarkEnd w:id="44"/>
    </w:p>
    <w:p>
      <w:pPr>
        <w:pStyle w:val="ImageCaption"/>
      </w:pPr>
      <w:r>
        <w:t xml:space="preserve">Figure 3: Amide I - ν</w:t>
      </w:r>
      <w:r>
        <w:rPr>
          <w:vertAlign w:val="subscript"/>
        </w:rPr>
        <w:t xml:space="preserve">2</w:t>
      </w:r>
      <w:r>
        <w:t xml:space="preserve">PO</w:t>
      </w:r>
      <w:r>
        <w:rPr>
          <w:vertAlign w:val="subscript"/>
        </w:rPr>
        <w:t xml:space="preserve">4</w:t>
      </w:r>
      <w:r>
        <w:t xml:space="preserve"> </w:t>
      </w:r>
      <w:r>
        <w:t xml:space="preserve">ratios for all FTIR spectra.</w:t>
      </w:r>
    </w:p>
    <w:bookmarkEnd w:id="45"/>
    <w:bookmarkStart w:id="46" w:name="sec:discussion"/>
    <w:p>
      <w:pPr>
        <w:pStyle w:val="Heading1"/>
      </w:pPr>
      <w:r>
        <w:rPr>
          <w:rStyle w:val="SectionNumber"/>
        </w:rPr>
        <w:t xml:space="preserve">6</w:t>
      </w:r>
      <w:r>
        <w:tab/>
      </w:r>
      <w:r>
        <w:t xml:space="preserve">Discussion</w:t>
      </w:r>
    </w:p>
    <w:bookmarkEnd w:id="46"/>
    <w:bookmarkStart w:id="48" w:name="sec:sup_info"/>
    <w:p>
      <w:pPr>
        <w:pStyle w:val="Heading1"/>
      </w:pPr>
      <w:r>
        <w:rPr>
          <w:rStyle w:val="SectionNumber"/>
        </w:rPr>
        <w:t xml:space="preserve">7</w:t>
      </w:r>
      <w:r>
        <w:tab/>
      </w:r>
      <w:r>
        <w:t xml:space="preserve">Supplementary Information</w:t>
      </w:r>
    </w:p>
    <w:p>
      <w:pPr>
        <w:pStyle w:val="FirstParagraph"/>
      </w:pPr>
      <w:r>
        <w:t xml:space="preserve">All infrared spectra, stable isotope data, analysis code, and a draft version of this manuscript are available on at</w:t>
      </w:r>
      <w:r>
        <w:t xml:space="preserve"> </w:t>
      </w:r>
      <w:hyperlink r:id="rId47">
        <w:r>
          <w:rPr>
            <w:rStyle w:val="Hyperlink"/>
          </w:rPr>
          <w:t xml:space="preserve">github.com/robintrayler/collagen_demineralization</w:t>
        </w:r>
      </w:hyperlink>
    </w:p>
    <w:bookmarkEnd w:id="48"/>
    <w:bookmarkStart w:id="79" w:name="references"/>
    <w:p>
      <w:pPr>
        <w:pStyle w:val="Heading1"/>
      </w:pPr>
      <w:r>
        <w:t xml:space="preserve">References</w:t>
      </w:r>
    </w:p>
    <w:bookmarkStart w:id="78" w:name="refs"/>
    <w:bookmarkStart w:id="49" w:name="ref-ambrose1990"/>
    <w:p>
      <w:pPr>
        <w:pStyle w:val="Bibliography"/>
      </w:pPr>
      <w:r>
        <w:t xml:space="preserve">Ambrose, S.H., 1990, Preparation</w:t>
      </w:r>
      <w:r>
        <w:t xml:space="preserve"> </w:t>
      </w:r>
      <w:r>
        <w:t xml:space="preserve">And Characterization Of Bone And Tooth Collagen For Isotopic Analysis</w:t>
      </w:r>
      <w:r>
        <w:t xml:space="preserve">: Journal of Archaeological Science, v. 17, p. 145.</w:t>
      </w:r>
    </w:p>
    <w:bookmarkEnd w:id="49"/>
    <w:bookmarkStart w:id="50" w:name="ref-botta2012"/>
    <w:p>
      <w:pPr>
        <w:pStyle w:val="Bibliography"/>
      </w:pPr>
      <w:r>
        <w:t xml:space="preserve">Botta, S.B., Ana, P.A., Santos, M.O., Zezell, D.M., and Matos, A.B., 2012, Effect of dental tissue conditioners and matrix metalloproteinase inhibitors on type</w:t>
      </w:r>
      <w:r>
        <w:t xml:space="preserve"> </w:t>
      </w:r>
      <w:r>
        <w:t xml:space="preserve">I</w:t>
      </w:r>
      <w:r>
        <w:t xml:space="preserve"> </w:t>
      </w:r>
      <w:r>
        <w:t xml:space="preserve">collagen microstructure analyzed by</w:t>
      </w:r>
      <w:r>
        <w:t xml:space="preserve"> </w:t>
      </w:r>
      <w:r>
        <w:t xml:space="preserve">Fourier</w:t>
      </w:r>
      <w:r>
        <w:t xml:space="preserve"> </w:t>
      </w:r>
      <w:r>
        <w:t xml:space="preserve">transform infrared spectroscopy: Journal of Biomedical Materials Research Part B: Applied Biomaterials, v. 100, p. 1009–1016.</w:t>
      </w:r>
    </w:p>
    <w:bookmarkEnd w:id="50"/>
    <w:bookmarkStart w:id="51" w:name="ref-brown1988"/>
    <w:p>
      <w:pPr>
        <w:pStyle w:val="Bibliography"/>
      </w:pPr>
      <w:r>
        <w:t xml:space="preserve">Brown, T.A., Nelson, D.E., Vogel, J.S., and Southon, J.R., 1988, Improved collagen extraction by modified</w:t>
      </w:r>
      <w:r>
        <w:t xml:space="preserve"> </w:t>
      </w:r>
      <w:r>
        <w:t xml:space="preserve">Longin</w:t>
      </w:r>
      <w:r>
        <w:t xml:space="preserve"> </w:t>
      </w:r>
      <w:r>
        <w:t xml:space="preserve">method: Radiocarbon, v. 30, p. 171–177.</w:t>
      </w:r>
    </w:p>
    <w:bookmarkEnd w:id="51"/>
    <w:bookmarkStart w:id="52" w:name="ref-clementz2012"/>
    <w:p>
      <w:pPr>
        <w:pStyle w:val="Bibliography"/>
      </w:pPr>
      <w:r>
        <w:t xml:space="preserve">Clementz, M.T., 2012, New insight from old bones: Stable isotope analysis of fossil mammals: Journal of Mammalogy, v. 93, p. 368–380.</w:t>
      </w:r>
    </w:p>
    <w:bookmarkEnd w:id="52"/>
    <w:bookmarkStart w:id="53" w:name="ref-driessens1990"/>
    <w:p>
      <w:pPr>
        <w:pStyle w:val="Bibliography"/>
      </w:pPr>
      <w:r>
        <w:t xml:space="preserve">Driessens, F.C., and Verbeeck, R.K., 1990, Biominerals:</w:t>
      </w:r>
      <w:r>
        <w:t xml:space="preserve"> </w:t>
      </w:r>
      <w:r>
        <w:t xml:space="preserve">Boca Raton, FL</w:t>
      </w:r>
      <w:r>
        <w:t xml:space="preserve">,</w:t>
      </w:r>
      <w:r>
        <w:t xml:space="preserve"> </w:t>
      </w:r>
      <w:r>
        <w:t xml:space="preserve">CRC Press</w:t>
      </w:r>
      <w:r>
        <w:t xml:space="preserve">.</w:t>
      </w:r>
    </w:p>
    <w:bookmarkEnd w:id="53"/>
    <w:bookmarkStart w:id="54" w:name="ref-elliott2002"/>
    <w:p>
      <w:pPr>
        <w:pStyle w:val="Bibliography"/>
      </w:pPr>
      <w:r>
        <w:t xml:space="preserve">Elliott, J.C., 2002, Calcium</w:t>
      </w:r>
      <w:r>
        <w:t xml:space="preserve"> </w:t>
      </w:r>
      <w:r>
        <w:t xml:space="preserve">Phosphate Biominerals</w:t>
      </w:r>
      <w:r>
        <w:t xml:space="preserve">: Reviews in Mineralogy and Geochemistry, v. 48, p. 427–453.</w:t>
      </w:r>
    </w:p>
    <w:bookmarkEnd w:id="54"/>
    <w:bookmarkStart w:id="55" w:name="ref-fuller2015"/>
    <w:p>
      <w:pPr>
        <w:pStyle w:val="Bibliography"/>
      </w:pPr>
      <w:r>
        <w:t xml:space="preserve">Fuller, B.T., Harris, J.M., Farrell, A.B., Takeuchi, G., and Southon, J.R., 2015, Sample preparation for radiocarbon dating and isotopic analysis of bone from</w:t>
      </w:r>
      <w:r>
        <w:t xml:space="preserve"> </w:t>
      </w:r>
      <w:r>
        <w:t xml:space="preserve">Rancho La Brea</w:t>
      </w:r>
      <w:r>
        <w:t xml:space="preserve">: La Brea and beyond: The paleontology of asphalt-preserved biotas, ed. JM Harris. Natural History Museum of Los Angeles County, Science Series, p. 151–167.</w:t>
      </w:r>
    </w:p>
    <w:bookmarkEnd w:id="55"/>
    <w:bookmarkStart w:id="56" w:name="ref-grunenwald2014"/>
    <w:p>
      <w:pPr>
        <w:pStyle w:val="Bibliography"/>
      </w:pPr>
      <w:r>
        <w:t xml:space="preserve">Grunenwald, A., Keyser, C., Sautereau, A.-M., Crubézy, E., Ludes, B., and Drouet, C., 2014, Revisiting carbonate quantification in apatite (bio) minerals: A validated</w:t>
      </w:r>
      <w:r>
        <w:t xml:space="preserve"> </w:t>
      </w:r>
      <w:r>
        <w:t xml:space="preserve">FTIR</w:t>
      </w:r>
      <w:r>
        <w:t xml:space="preserve"> </w:t>
      </w:r>
      <w:r>
        <w:t xml:space="preserve">methodology: Journal of Archaeological Science, v. 49, p. 134–141.</w:t>
      </w:r>
    </w:p>
    <w:bookmarkEnd w:id="56"/>
    <w:bookmarkStart w:id="57" w:name="ref-hankermeyer2002"/>
    <w:p>
      <w:pPr>
        <w:pStyle w:val="Bibliography"/>
      </w:pPr>
      <w:r>
        <w:t xml:space="preserve">Hankermeyer, C.R., Ohashi, K.L., Delaney, D.C., Ross, J., and Constantz, B.R., 2002, Dissolution rates of carbonated hydroxyapatite in hydrochloric acid: Biomaterials, v. 23, p. 743–750.</w:t>
      </w:r>
    </w:p>
    <w:bookmarkEnd w:id="57"/>
    <w:bookmarkStart w:id="58" w:name="ref-hassan1977"/>
    <w:p>
      <w:pPr>
        <w:pStyle w:val="Bibliography"/>
      </w:pPr>
      <w:r>
        <w:t xml:space="preserve">Hassan, A.A., Termine, J.D., and Haynes, C.V., 1977, Mineralogical studies on bone apatite and their implications for radiocarbon dating: Radiocarbon, v. 19, p. 364–374.</w:t>
      </w:r>
    </w:p>
    <w:bookmarkEnd w:id="58"/>
    <w:bookmarkStart w:id="59" w:name="ref-koch1994"/>
    <w:p>
      <w:pPr>
        <w:pStyle w:val="Bibliography"/>
      </w:pPr>
      <w:r>
        <w:t xml:space="preserve">Koch, P.L., Fogel, M.L., and Tuross, N., 1994, Tracing the diets of fossil animals using stable isotopes: Stable Isotopes in Ecology and Environmental Science, p. 63–92.</w:t>
      </w:r>
    </w:p>
    <w:bookmarkEnd w:id="59"/>
    <w:bookmarkStart w:id="60" w:name="ref-lebon2016"/>
    <w:p>
      <w:pPr>
        <w:pStyle w:val="Bibliography"/>
      </w:pPr>
      <w:r>
        <w:t xml:space="preserve">Lebon, M., Reiche, I., Gallet, X., Bellot-Gurlet, L., and Zazzo, A., 2016, Rapid quantification of bone collagen content by</w:t>
      </w:r>
      <w:r>
        <w:t xml:space="preserve"> </w:t>
      </w:r>
      <w:r>
        <w:t xml:space="preserve">ATR</w:t>
      </w:r>
      <w:r>
        <w:t xml:space="preserve">-</w:t>
      </w:r>
      <w:r>
        <w:t xml:space="preserve">FTIR</w:t>
      </w:r>
      <w:r>
        <w:t xml:space="preserve"> </w:t>
      </w:r>
      <w:r>
        <w:t xml:space="preserve">spectroscopy: Radiocarbon, v. 58, p. 131–145.</w:t>
      </w:r>
    </w:p>
    <w:bookmarkEnd w:id="60"/>
    <w:bookmarkStart w:id="61" w:name="ref-legeros1991"/>
    <w:p>
      <w:pPr>
        <w:pStyle w:val="Bibliography"/>
      </w:pPr>
      <w:r>
        <w:t xml:space="preserve">LeGeros, R.Z., 1991, Calcium</w:t>
      </w:r>
      <w:r>
        <w:t xml:space="preserve"> </w:t>
      </w:r>
      <w:r>
        <w:t xml:space="preserve">Phosphates</w:t>
      </w:r>
      <w:r>
        <w:t xml:space="preserve"> </w:t>
      </w:r>
      <w:r>
        <w:t xml:space="preserve">in</w:t>
      </w:r>
      <w:r>
        <w:t xml:space="preserve"> </w:t>
      </w:r>
      <w:r>
        <w:t xml:space="preserve">Oral Biology</w:t>
      </w:r>
      <w:r>
        <w:t xml:space="preserve"> </w:t>
      </w:r>
      <w:r>
        <w:t xml:space="preserve">and</w:t>
      </w:r>
      <w:r>
        <w:t xml:space="preserve"> </w:t>
      </w:r>
      <w:r>
        <w:t xml:space="preserve">Medicine</w:t>
      </w:r>
      <w:r>
        <w:t xml:space="preserve">,</w:t>
      </w:r>
      <w:r>
        <w:t xml:space="preserve"> </w:t>
      </w:r>
      <w:r>
        <w:rPr>
          <w:iCs/>
          <w:i/>
        </w:rPr>
        <w:t xml:space="preserve">in</w:t>
      </w:r>
      <w:r>
        <w:t xml:space="preserve"> </w:t>
      </w:r>
      <w:r>
        <w:t xml:space="preserve">Myers, H. ed., Monographs in</w:t>
      </w:r>
      <w:r>
        <w:t xml:space="preserve"> </w:t>
      </w:r>
      <w:r>
        <w:t xml:space="preserve">Oral Science</w:t>
      </w:r>
      <w:r>
        <w:t xml:space="preserve">,</w:t>
      </w:r>
      <w:r>
        <w:t xml:space="preserve"> </w:t>
      </w:r>
      <w:r>
        <w:t xml:space="preserve">New York, New York</w:t>
      </w:r>
      <w:r>
        <w:t xml:space="preserve">,</w:t>
      </w:r>
      <w:r>
        <w:t xml:space="preserve"> </w:t>
      </w:r>
      <w:r>
        <w:t xml:space="preserve">Karger, Basel</w:t>
      </w:r>
      <w:r>
        <w:t xml:space="preserve">, v. 15.</w:t>
      </w:r>
    </w:p>
    <w:bookmarkEnd w:id="61"/>
    <w:bookmarkStart w:id="62" w:name="ref-longin1971"/>
    <w:p>
      <w:pPr>
        <w:pStyle w:val="Bibliography"/>
      </w:pPr>
      <w:r>
        <w:t xml:space="preserve">Longin, R., 1971, New method of collagen extraction for radiocarbon dating: Nature, v. 230, p. 241–242.</w:t>
      </w:r>
    </w:p>
    <w:bookmarkEnd w:id="62"/>
    <w:bookmarkStart w:id="64" w:name="ref-passey2005"/>
    <w:p>
      <w:pPr>
        <w:pStyle w:val="Bibliography"/>
      </w:pPr>
      <w:r>
        <w:t xml:space="preserve">Passey, B.H., Cerling, T.E., Schuster, G.T., Robinson, T.F., Roeder, B.L., and Krueger, S.K., 2005, Inverse methods for estimating primary input signals from time-averaged isotope profiles: Geochimica et Cosmochimica Acta, v. 69, p. 4101–4116, doi:</w:t>
      </w:r>
      <w:hyperlink r:id="rId63">
        <w:r>
          <w:rPr>
            <w:rStyle w:val="Hyperlink"/>
          </w:rPr>
          <w:t xml:space="preserve">10.1016/j.gca.2004.12.002</w:t>
        </w:r>
      </w:hyperlink>
      <w:r>
        <w:t xml:space="preserve">.</w:t>
      </w:r>
    </w:p>
    <w:bookmarkEnd w:id="64"/>
    <w:bookmarkStart w:id="65" w:name="ref-pestle2010"/>
    <w:p>
      <w:pPr>
        <w:pStyle w:val="Bibliography"/>
      </w:pPr>
      <w:r>
        <w:t xml:space="preserve">Pestle, W.J., 2010, Chemical, elemental, and isotopic effects of acid concentration and treatment duration on ancient bone collagen: An exploratory study: Journal of Archaeological Science, v. 37, p. 3124–3128.</w:t>
      </w:r>
    </w:p>
    <w:bookmarkEnd w:id="65"/>
    <w:bookmarkStart w:id="66" w:name="ref-rcoreteam2021"/>
    <w:p>
      <w:pPr>
        <w:pStyle w:val="Bibliography"/>
      </w:pPr>
      <w:r>
        <w:t xml:space="preserve">R Core Team, 2021, R: A</w:t>
      </w:r>
      <w:r>
        <w:t xml:space="preserve"> </w:t>
      </w:r>
      <w:r>
        <w:t xml:space="preserve">Language</w:t>
      </w:r>
      <w:r>
        <w:t xml:space="preserve"> </w:t>
      </w:r>
      <w:r>
        <w:t xml:space="preserve">and</w:t>
      </w:r>
      <w:r>
        <w:t xml:space="preserve"> </w:t>
      </w:r>
      <w:r>
        <w:t xml:space="preserve">Environment</w:t>
      </w:r>
      <w:r>
        <w:t xml:space="preserve"> </w:t>
      </w:r>
      <w:r>
        <w:t xml:space="preserve">for</w:t>
      </w:r>
      <w:r>
        <w:t xml:space="preserve"> </w:t>
      </w:r>
      <w:r>
        <w:t xml:space="preserve">Statistical Computing</w:t>
      </w:r>
      <w:r>
        <w:t xml:space="preserve">:</w:t>
      </w:r>
      <w:r>
        <w:t xml:space="preserve"> </w:t>
      </w:r>
      <w:r>
        <w:t xml:space="preserve">Vienna, Austria</w:t>
      </w:r>
      <w:r>
        <w:t xml:space="preserve">,</w:t>
      </w:r>
      <w:r>
        <w:t xml:space="preserve"> </w:t>
      </w:r>
      <w:r>
        <w:t xml:space="preserve">R Foundation for Statistical Computing</w:t>
      </w:r>
      <w:r>
        <w:t xml:space="preserve">.</w:t>
      </w:r>
    </w:p>
    <w:bookmarkEnd w:id="66"/>
    <w:bookmarkStart w:id="67" w:name="ref-rey1991"/>
    <w:p>
      <w:pPr>
        <w:pStyle w:val="Bibliography"/>
      </w:pPr>
      <w:r>
        <w:t xml:space="preserve">Rey, C., Renugopalakrishnan, V., Shimizu, M., Collins, B., and Glimcher, M.J., 1991, A resolution-enhanced</w:t>
      </w:r>
      <w:r>
        <w:t xml:space="preserve"> </w:t>
      </w:r>
      <w:r>
        <w:t xml:space="preserve">Fourier</w:t>
      </w:r>
      <w:r>
        <w:t xml:space="preserve"> </w:t>
      </w:r>
      <w:r>
        <w:t xml:space="preserve">transform infrared spectroscopic study of the environment of the</w:t>
      </w:r>
      <w:r>
        <w:t xml:space="preserve"> </w:t>
      </w:r>
      <w:r>
        <w:t xml:space="preserve">CO32</w:t>
      </w:r>
      <w:r>
        <w:t xml:space="preserve">− ion in the mineral phase of enamel during its formation and maturation: Calcified tissue international, v. 49, p. 259–268.</w:t>
      </w:r>
    </w:p>
    <w:bookmarkEnd w:id="67"/>
    <w:bookmarkStart w:id="69" w:name="ref-roche2010"/>
    <w:p>
      <w:pPr>
        <w:pStyle w:val="Bibliography"/>
      </w:pPr>
      <w:r>
        <w:t xml:space="preserve">Roche, D., Ségalen, L., Balan, E., and Delattre, S., 2010, Preservation</w:t>
      </w:r>
      <w:r>
        <w:t xml:space="preserve"> </w:t>
      </w:r>
      <w:r>
        <w:t xml:space="preserve">Assessment Of Miocene</w:t>
      </w:r>
      <w:r>
        <w:t xml:space="preserve">–</w:t>
      </w:r>
      <w:r>
        <w:t xml:space="preserve">Pliocene Tooth Enamel From Tugen Hills</w:t>
      </w:r>
      <w:r>
        <w:t xml:space="preserve"> </w:t>
      </w:r>
      <w:r>
        <w:t xml:space="preserve">(</w:t>
      </w:r>
      <w:r>
        <w:t xml:space="preserve">Kenyan Rift Valley</w:t>
      </w:r>
      <w:r>
        <w:t xml:space="preserve">)</w:t>
      </w:r>
      <w:r>
        <w:t xml:space="preserve"> </w:t>
      </w:r>
      <w:r>
        <w:t xml:space="preserve">Through FTIR</w:t>
      </w:r>
      <w:r>
        <w:t xml:space="preserve">,</w:t>
      </w:r>
      <w:r>
        <w:t xml:space="preserve"> </w:t>
      </w:r>
      <w:r>
        <w:t xml:space="preserve">Chemical And Stable</w:t>
      </w:r>
      <w:r>
        <w:t xml:space="preserve">-</w:t>
      </w:r>
      <w:r>
        <w:t xml:space="preserve">Isotope Analyses</w:t>
      </w:r>
      <w:r>
        <w:t xml:space="preserve">: Journal of Archaeological Science, v. 37, p. 1690–1699, doi:</w:t>
      </w:r>
      <w:hyperlink r:id="rId68">
        <w:r>
          <w:rPr>
            <w:rStyle w:val="Hyperlink"/>
          </w:rPr>
          <w:t xml:space="preserve">10.1016/j.jas.2010.01.029</w:t>
        </w:r>
      </w:hyperlink>
      <w:r>
        <w:t xml:space="preserve">.</w:t>
      </w:r>
    </w:p>
    <w:bookmarkEnd w:id="69"/>
    <w:bookmarkStart w:id="70" w:name="ref-schwarcz1991"/>
    <w:p>
      <w:pPr>
        <w:pStyle w:val="Bibliography"/>
      </w:pPr>
      <w:r>
        <w:t xml:space="preserve">Schwarcz, H.P., and Schoeninger, M.J., 1991, Stable isotope analyses in human nutritional ecology: American Journal of Physical Anthropology, v. 34, p. 283–321.</w:t>
      </w:r>
    </w:p>
    <w:bookmarkEnd w:id="70"/>
    <w:bookmarkStart w:id="71" w:name="ref-sonjuclasen1997"/>
    <w:p>
      <w:pPr>
        <w:pStyle w:val="Bibliography"/>
      </w:pPr>
      <w:r>
        <w:t xml:space="preserve">Sønju Clasen, A.B., and Ruyter, I.E., 1997, Quantitative</w:t>
      </w:r>
      <w:r>
        <w:t xml:space="preserve"> </w:t>
      </w:r>
      <w:r>
        <w:t xml:space="preserve">Determination Of Type A And Type B Carbonate In Human Deciduous And Permanent Enamel By Means Of Fourier Transform Infrared Spectrometry</w:t>
      </w:r>
      <w:r>
        <w:t xml:space="preserve">: Advances in dental research, v. 11, p. 523–527.</w:t>
      </w:r>
    </w:p>
    <w:bookmarkEnd w:id="71"/>
    <w:bookmarkStart w:id="72" w:name="ref-sponheimer1999"/>
    <w:p>
      <w:pPr>
        <w:pStyle w:val="Bibliography"/>
      </w:pPr>
      <w:r>
        <w:t xml:space="preserve">Sponheimer, M., and Lee-Thorp, J.A., 1999, Alteration of enamel carbonate environments during fossilization: Journal of Archaeological Science, v. 26, p. 143–150.</w:t>
      </w:r>
    </w:p>
    <w:bookmarkEnd w:id="72"/>
    <w:bookmarkStart w:id="73" w:name="ref-stuart2004"/>
    <w:p>
      <w:pPr>
        <w:pStyle w:val="Bibliography"/>
      </w:pPr>
      <w:r>
        <w:t xml:space="preserve">Stuart, B.H., 2004, Infrared spectroscopy: Fundamentals and applications:</w:t>
      </w:r>
      <w:r>
        <w:t xml:space="preserve"> </w:t>
      </w:r>
      <w:r>
        <w:t xml:space="preserve">John Wiley &amp; Sons</w:t>
      </w:r>
      <w:r>
        <w:t xml:space="preserve">.</w:t>
      </w:r>
    </w:p>
    <w:bookmarkEnd w:id="73"/>
    <w:bookmarkStart w:id="74" w:name="ref-szpak2011"/>
    <w:p>
      <w:pPr>
        <w:pStyle w:val="Bibliography"/>
      </w:pPr>
      <w:r>
        <w:t xml:space="preserve">Szpak, P., 2011, Fish bone chemistry and ultrastructure: Implications for taphonomy and stable isotope analysis: Journal of Archaeological Science, v. 38, p. 3358–3372.</w:t>
      </w:r>
    </w:p>
    <w:bookmarkEnd w:id="74"/>
    <w:bookmarkStart w:id="75" w:name="ref-tuross2002"/>
    <w:p>
      <w:pPr>
        <w:pStyle w:val="Bibliography"/>
      </w:pPr>
      <w:r>
        <w:t xml:space="preserve">Tuross, N., 2002, Alterations in fossil collagen: Archaeometry, v. 44, p. 427–434.</w:t>
      </w:r>
    </w:p>
    <w:bookmarkEnd w:id="75"/>
    <w:bookmarkStart w:id="76" w:name="ref-tuross1988"/>
    <w:p>
      <w:pPr>
        <w:pStyle w:val="Bibliography"/>
      </w:pPr>
      <w:r>
        <w:t xml:space="preserve">Tuross, N., Fogel, M.L., and Hare, P., 1988, Variability in the preservation of the isotopic composition of collagen from fossil bone: Geochimica et Cosmochimica Acta, v. 52, p. 929–935.</w:t>
      </w:r>
    </w:p>
    <w:bookmarkEnd w:id="76"/>
    <w:bookmarkStart w:id="77" w:name="ref-vanklinken1999"/>
    <w:p>
      <w:pPr>
        <w:pStyle w:val="Bibliography"/>
      </w:pPr>
      <w:r>
        <w:t xml:space="preserve">Van Klinken, G.J., 1999, Bone collagen quality indicators for palaeodietary and radiocarbon measurements: Journal of Archaeological Science, v. 26, p. 687–695.</w:t>
      </w:r>
    </w:p>
    <w:bookmarkEnd w:id="77"/>
    <w:bookmarkEnd w:id="78"/>
    <w:bookmarkEnd w:id="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df" /><Relationship Type="http://schemas.openxmlformats.org/officeDocument/2006/relationships/image" Id="rId41" Target="media/rId41.pdf" /><Relationship Type="http://schemas.openxmlformats.org/officeDocument/2006/relationships/image" Id="rId27" Target="media/rId27.pdf" /><Relationship Type="http://schemas.openxmlformats.org/officeDocument/2006/relationships/hyperlink" Id="rId63" Target="https://doi.org/10.1016/j.gca.2004.12.002" TargetMode="External" /><Relationship Type="http://schemas.openxmlformats.org/officeDocument/2006/relationships/hyperlink" Id="rId68" Target="https://doi.org/10.1016/j.jas.2010.01.029" TargetMode="External" /><Relationship Type="http://schemas.openxmlformats.org/officeDocument/2006/relationships/hyperlink" Id="rId47" Target="https://github.com/robintrayler/collagen_demineralization" TargetMode="External" /></Relationships>
</file>

<file path=word/_rels/footnotes.xml.rels><?xml version="1.0" encoding="UTF-8"?><Relationships xmlns="http://schemas.openxmlformats.org/package/2006/relationships"><Relationship Type="http://schemas.openxmlformats.org/officeDocument/2006/relationships/hyperlink" Id="rId63" Target="https://doi.org/10.1016/j.gca.2004.12.002" TargetMode="External" /><Relationship Type="http://schemas.openxmlformats.org/officeDocument/2006/relationships/hyperlink" Id="rId68" Target="https://doi.org/10.1016/j.jas.2010.01.029" TargetMode="External" /><Relationship Type="http://schemas.openxmlformats.org/officeDocument/2006/relationships/hyperlink" Id="rId47" Target="https://github.com/robintrayler/collagen_demineraliza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Simple, Rapid Extraction of Collagen from Modern Bone</dc:title>
  <dc:creator>Robin B. Trayler; Sora L. Kim</dc:creator>
  <cp:keywords/>
  <dcterms:created xsi:type="dcterms:W3CDTF">2022-02-09T22:36:12Z</dcterms:created>
  <dcterms:modified xsi:type="dcterms:W3CDTF">2022-02-09T22:36:12Z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./manuscript_files/references.bib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./manuscript_files/geology.csl</vt:lpwstr>
  </property>
  <property fmtid="{D5CDD505-2E9C-101B-9397-08002B2CF9AE}" pid="15" name="eqLabels">
    <vt:lpwstr>arabic</vt:lpwstr>
  </property>
  <property fmtid="{D5CDD505-2E9C-101B-9397-08002B2CF9AE}" pid="16" name="eqnPrefix">
    <vt:lpwstr/>
  </property>
  <property fmtid="{D5CDD505-2E9C-101B-9397-08002B2CF9AE}" pid="17" name="eqnPrefixTemplate">
    <vt:lpwstr>p i</vt:lpwstr>
  </property>
  <property fmtid="{D5CDD505-2E9C-101B-9397-08002B2CF9AE}" pid="18" name="equationNumberTeX">
    <vt:lpwstr>qquad</vt:lpwstr>
  </property>
  <property fmtid="{D5CDD505-2E9C-101B-9397-08002B2CF9AE}" pid="19" name="figLabels">
    <vt:lpwstr>arabic</vt:lpwstr>
  </property>
  <property fmtid="{D5CDD505-2E9C-101B-9397-08002B2CF9AE}" pid="20" name="figPrefix">
    <vt:lpwstr>Figure</vt:lpwstr>
  </property>
  <property fmtid="{D5CDD505-2E9C-101B-9397-08002B2CF9AE}" pid="21" name="figPrefixTemplate">
    <vt:lpwstr>p i</vt:lpwstr>
  </property>
  <property fmtid="{D5CDD505-2E9C-101B-9397-08002B2CF9AE}" pid="22" name="figureTemplate">
    <vt:lpwstr>figureTitle ititleDelim t</vt:lpwstr>
  </property>
  <property fmtid="{D5CDD505-2E9C-101B-9397-08002B2CF9AE}" pid="23" name="figureTitle">
    <vt:lpwstr>Figure</vt:lpwstr>
  </property>
  <property fmtid="{D5CDD505-2E9C-101B-9397-08002B2CF9AE}" pid="24" name="geometry">
    <vt:lpwstr>margin=1.0in</vt:lpwstr>
  </property>
  <property fmtid="{D5CDD505-2E9C-101B-9397-08002B2CF9AE}" pid="25" name="header-includes">
    <vt:lpwstr/>
  </property>
  <property fmtid="{D5CDD505-2E9C-101B-9397-08002B2CF9AE}" pid="26" name="lastDelim">
    <vt:lpwstr>, </vt:lpwstr>
  </property>
  <property fmtid="{D5CDD505-2E9C-101B-9397-08002B2CF9AE}" pid="27" name="link-citations">
    <vt:lpwstr>True</vt:lpwstr>
  </property>
  <property fmtid="{D5CDD505-2E9C-101B-9397-08002B2CF9AE}" pid="28" name="linkReferences">
    <vt:lpwstr>False</vt:lpwstr>
  </property>
  <property fmtid="{D5CDD505-2E9C-101B-9397-08002B2CF9AE}" pid="29" name="listingTemplate">
    <vt:lpwstr>listingTitle ititleDelim t</vt:lpwstr>
  </property>
  <property fmtid="{D5CDD505-2E9C-101B-9397-08002B2CF9AE}" pid="30" name="listingTitle">
    <vt:lpwstr>Listing</vt:lpwstr>
  </property>
  <property fmtid="{D5CDD505-2E9C-101B-9397-08002B2CF9AE}" pid="31" name="listings">
    <vt:lpwstr>False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mainfont">
    <vt:lpwstr>Helvetica</vt:lpwstr>
  </property>
  <property fmtid="{D5CDD505-2E9C-101B-9397-08002B2CF9AE}" pid="39" name="nameInLink">
    <vt:lpwstr>False</vt:lpwstr>
  </property>
  <property fmtid="{D5CDD505-2E9C-101B-9397-08002B2CF9AE}" pid="40" name="numberSections">
    <vt:lpwstr>False</vt:lpwstr>
  </property>
  <property fmtid="{D5CDD505-2E9C-101B-9397-08002B2CF9AE}" pid="41" name="pairDelim">
    <vt:lpwstr>, </vt:lpwstr>
  </property>
  <property fmtid="{D5CDD505-2E9C-101B-9397-08002B2CF9AE}" pid="42" name="rangeDelim">
    <vt:lpwstr>-</vt:lpwstr>
  </property>
  <property fmtid="{D5CDD505-2E9C-101B-9397-08002B2CF9AE}" pid="43" name="refDelim">
    <vt:lpwstr>, </vt:lpwstr>
  </property>
  <property fmtid="{D5CDD505-2E9C-101B-9397-08002B2CF9AE}" pid="44" name="refIndexTemplate">
    <vt:lpwstr>isuf</vt:lpwstr>
  </property>
  <property fmtid="{D5CDD505-2E9C-101B-9397-08002B2CF9AE}" pid="45" name="secHeaderDelim">
    <vt:lpwstr> </vt:lpwstr>
  </property>
  <property fmtid="{D5CDD505-2E9C-101B-9397-08002B2CF9AE}" pid="46" name="secHeaderTemplate">
    <vt:lpwstr>isecHeaderDelim[n]t</vt:lpwstr>
  </property>
  <property fmtid="{D5CDD505-2E9C-101B-9397-08002B2CF9AE}" pid="47" name="secLabels">
    <vt:lpwstr>arabic</vt:lpwstr>
  </property>
  <property fmtid="{D5CDD505-2E9C-101B-9397-08002B2CF9AE}" pid="48" name="secPrefix">
    <vt:lpwstr>Section</vt:lpwstr>
  </property>
  <property fmtid="{D5CDD505-2E9C-101B-9397-08002B2CF9AE}" pid="49" name="secPrefixTemplate">
    <vt:lpwstr>p i</vt:lpwstr>
  </property>
  <property fmtid="{D5CDD505-2E9C-101B-9397-08002B2CF9AE}" pid="50" name="sectionsDepth">
    <vt:lpwstr>0</vt:lpwstr>
  </property>
  <property fmtid="{D5CDD505-2E9C-101B-9397-08002B2CF9AE}" pid="51" name="subfigGrid">
    <vt:lpwstr>False</vt:lpwstr>
  </property>
  <property fmtid="{D5CDD505-2E9C-101B-9397-08002B2CF9AE}" pid="52" name="subfigLabels">
    <vt:lpwstr>alpha a</vt:lpwstr>
  </property>
  <property fmtid="{D5CDD505-2E9C-101B-9397-08002B2CF9AE}" pid="53" name="subfigureChildTemplate">
    <vt:lpwstr>i</vt:lpwstr>
  </property>
  <property fmtid="{D5CDD505-2E9C-101B-9397-08002B2CF9AE}" pid="54" name="subfigureRefIndexTemplate">
    <vt:lpwstr>isuf (s)</vt:lpwstr>
  </property>
  <property fmtid="{D5CDD505-2E9C-101B-9397-08002B2CF9AE}" pid="55" name="subfigureTemplate">
    <vt:lpwstr>figureTitle ititleDelim t. ccs</vt:lpwstr>
  </property>
  <property fmtid="{D5CDD505-2E9C-101B-9397-08002B2CF9AE}" pid="56" name="tableEqns">
    <vt:lpwstr>False</vt:lpwstr>
  </property>
  <property fmtid="{D5CDD505-2E9C-101B-9397-08002B2CF9AE}" pid="57" name="tableTemplate">
    <vt:lpwstr>tableTitle ititleDelim t</vt:lpwstr>
  </property>
  <property fmtid="{D5CDD505-2E9C-101B-9397-08002B2CF9AE}" pid="58" name="tableTitle">
    <vt:lpwstr>Table</vt:lpwstr>
  </property>
  <property fmtid="{D5CDD505-2E9C-101B-9397-08002B2CF9AE}" pid="59" name="tblLabels">
    <vt:lpwstr>arabic</vt:lpwstr>
  </property>
  <property fmtid="{D5CDD505-2E9C-101B-9397-08002B2CF9AE}" pid="60" name="tblPrefix">
    <vt:lpwstr>Table</vt:lpwstr>
  </property>
  <property fmtid="{D5CDD505-2E9C-101B-9397-08002B2CF9AE}" pid="61" name="tblPrefixTemplate">
    <vt:lpwstr>p i</vt:lpwstr>
  </property>
  <property fmtid="{D5CDD505-2E9C-101B-9397-08002B2CF9AE}" pid="62" name="titleDelim">
    <vt:lpwstr>:</vt:lpwstr>
  </property>
</Properties>
</file>