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Costech</w:t>
      </w:r>
      <w:r>
        <w:t xml:space="preserve"> </w:t>
      </w:r>
      <w:r>
        <w:t xml:space="preserve">4010</w:t>
      </w:r>
      <w:r>
        <w:t xml:space="preserve"> </w:t>
      </w:r>
      <w:r>
        <w:t xml:space="preserve">Elemental</w:t>
      </w:r>
      <w:r>
        <w:t xml:space="preserve"> </w:t>
      </w:r>
      <w:r>
        <w:t xml:space="preserve">Analyzer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Determination</w:t>
      </w:r>
      <w:r>
        <w:t xml:space="preserve"> </w:t>
      </w:r>
      <w:r>
        <w:t xml:space="preserve">v0.2</w:t>
      </w:r>
    </w:p>
    <w:p>
      <w:pPr>
        <w:pStyle w:val="Author"/>
      </w:pPr>
      <w:r>
        <w:t xml:space="preserve">Robin</w:t>
      </w:r>
      <w:r>
        <w:t xml:space="preserve"> </w:t>
      </w:r>
      <w:r>
        <w:t xml:space="preserve">B.</w:t>
      </w:r>
      <w:r>
        <w:t xml:space="preserve"> </w:t>
      </w:r>
      <w:r>
        <w:t xml:space="preserve">Trayler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Please contact the Stable Isotope Ecology Laboratory Technical Director with any questions or clarifications.</w:t>
      </w:r>
      <w:r>
        <w:t xml:space="preserve"> </w:t>
      </w:r>
      <w:r>
        <w:rPr>
          <w:bCs/>
          <w:b/>
        </w:rPr>
        <w:t xml:space="preserve">StableIsotopes@ucmerced.edu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Determining the correct sample size for δ</w:t>
      </w:r>
      <w:r>
        <w:rPr>
          <w:vertAlign w:val="superscript"/>
        </w:rPr>
        <w:t xml:space="preserve">13</w:t>
      </w:r>
      <w:r>
        <w:t xml:space="preserve">C and δ</w:t>
      </w:r>
      <w:r>
        <w:rPr>
          <w:vertAlign w:val="superscript"/>
        </w:rPr>
        <w:t xml:space="preserve">15</w:t>
      </w:r>
      <w:r>
        <w:t xml:space="preserve">N analyses is important because the mass spectrometer signal intensity, sensitivity, and reproducibility is related to sample mass. These notes make three assumptions.</w:t>
      </w:r>
      <w:r>
        <w:t xml:space="preserve"> </w:t>
      </w:r>
      <w:r>
        <w:t xml:space="preserve">1. The the carbon and nitrogen content of a material is known prior to analysis.</w:t>
      </w:r>
      <w:r>
        <w:t xml:space="preserve"> </w:t>
      </w:r>
      <w:r>
        <w:t xml:space="preserve">2. Analysis is taking place in the University of California, Merced Stable Isotope Ecology laboratory using a</w:t>
      </w:r>
      <w:r>
        <w:t xml:space="preserve"> </w:t>
      </w:r>
      <w:r>
        <w:rPr>
          <w:iCs/>
          <w:i/>
        </w:rPr>
        <w:t xml:space="preserve">Costech 4010 Elemental Analyzer</w:t>
      </w:r>
      <w:r>
        <w:t xml:space="preserve">.</w:t>
      </w:r>
      <w:r>
        <w:t xml:space="preserve"> </w:t>
      </w:r>
      <w:r>
        <w:t xml:space="preserve">* Other laboratories have similar instrumentation setups, however instrument sensitivity will vary between configurations.</w:t>
      </w:r>
      <w:r>
        <w:br/>
      </w:r>
      <w:r>
        <w:t xml:space="preserve">3. The</w:t>
      </w:r>
      <w:r>
        <w:t xml:space="preserve"> </w:t>
      </w:r>
      <w:r>
        <w:rPr>
          <w:iCs/>
          <w:i/>
        </w:rPr>
        <w:t xml:space="preserve">Delta V+ IRMS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sample dilution is set to 89%.</w:t>
      </w:r>
      <w:r>
        <w:t xml:space="preserve"> </w:t>
      </w:r>
      <w:r>
        <w:t xml:space="preserve">* This is the default configuration for routine analyses. Other configurations are possible but you should contact the Technical Director prior to sample preparation.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 signal intensity of a sample gas measured by a</w:t>
      </w:r>
      <w:r>
        <w:t xml:space="preserve"> </w:t>
      </w:r>
      <w:r>
        <w:rPr>
          <w:iCs/>
          <w:i/>
        </w:rPr>
        <w:t xml:space="preserve">Delta V+ isotope ratio mass spectrometer</w:t>
      </w:r>
      <w:r>
        <w:t xml:space="preserve"> </w:t>
      </w:r>
      <w:r>
        <w:t xml:space="preserve">is directly related to the about of gas. In the case of the</w:t>
      </w:r>
      <w:r>
        <w:t xml:space="preserve"> </w:t>
      </w:r>
      <w:r>
        <w:rPr>
          <w:iCs/>
          <w:i/>
        </w:rPr>
        <w:t xml:space="preserve">Costech 4010 Elemental Analyzer</w:t>
      </w:r>
      <w:r>
        <w:t xml:space="preserve"> </w:t>
      </w:r>
      <w:r>
        <w:t xml:space="preserve">the signal intensity is linearly related to sample mass (Figure 1).</w:t>
      </w:r>
    </w:p>
    <w:p>
      <w:pPr>
        <w:pStyle w:val="CaptionedFigure"/>
      </w:pPr>
      <w:bookmarkStart w:id="22" w:name="fig:intensity"/>
      <w:r>
        <w:drawing>
          <wp:inline>
            <wp:extent cx="5334000" cy="5334000"/>
            <wp:effectExtent b="0" l="0" r="0" t="0"/>
            <wp:docPr descr="Figure 1: Sample carbon and nitrogen content versus signal intensity." title="" id="1" name="Picture"/>
            <a:graphic>
              <a:graphicData uri="http://schemas.openxmlformats.org/drawingml/2006/picture">
                <pic:pic>
                  <pic:nvPicPr>
                    <pic:cNvPr descr="./figures/sample_size/amp_mas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Sample carbon and nitrogen content versus signal intensity.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Cs/>
          <w:i/>
        </w:rPr>
        <w:t xml:space="preserve">Delta V+ isotope ratio mass spectrometer</w:t>
      </w:r>
      <w:r>
        <w:t xml:space="preserve"> </w:t>
      </w:r>
      <w:r>
        <w:t xml:space="preserve">has a measurement range from 0 to 50 volts. However the sensitivity is best below about 30 volts. Furthermore, both δ</w:t>
      </w:r>
      <w:r>
        <w:rPr>
          <w:vertAlign w:val="superscript"/>
        </w:rPr>
        <w:t xml:space="preserve">13</w:t>
      </w:r>
      <w:r>
        <w:t xml:space="preserve">C and δ</w:t>
      </w:r>
      <w:r>
        <w:rPr>
          <w:vertAlign w:val="superscript"/>
        </w:rPr>
        <w:t xml:space="preserve">15</w:t>
      </w:r>
      <w:r>
        <w:t xml:space="preserve">N have have a non-linear relationship to signal intensity. This means that a sample with a small signal intensity will have a different measured δ value than a sample of the same material at a large signal intensity.</w:t>
      </w:r>
    </w:p>
    <w:p>
      <w:pPr>
        <w:pStyle w:val="CaptionedFigure"/>
      </w:pPr>
      <w:bookmarkStart w:id="24" w:name="fig:linearity"/>
      <w:r>
        <w:drawing>
          <wp:inline>
            <wp:extent cx="5334000" cy="5334000"/>
            <wp:effectExtent b="0" l="0" r="0" t="0"/>
            <wp:docPr descr="Figure 2: Mass dependence of δ13C and δ15N values." title="" id="1" name="Picture"/>
            <a:graphic>
              <a:graphicData uri="http://schemas.openxmlformats.org/drawingml/2006/picture">
                <pic:pic>
                  <pic:nvPicPr>
                    <pic:cNvPr descr="./figures/sample_size/linearity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Mass dependence of δ</w:t>
      </w:r>
      <w:r>
        <w:rPr>
          <w:vertAlign w:val="superscript"/>
        </w:rPr>
        <w:t xml:space="preserve">13</w:t>
      </w:r>
      <w:r>
        <w:t xml:space="preserve">C and δ</w:t>
      </w:r>
      <w:r>
        <w:rPr>
          <w:vertAlign w:val="superscript"/>
        </w:rPr>
        <w:t xml:space="preserve">15</w:t>
      </w:r>
      <w:r>
        <w:t xml:space="preserve">N values.</w:t>
      </w:r>
    </w:p>
    <w:p>
      <w:pPr>
        <w:pStyle w:val="BodyText"/>
      </w:pPr>
      <w:r>
        <w:t xml:space="preserve">The δ-value-mass-dependence is linear and lowest between about 5 to 15 volts for δ</w:t>
      </w:r>
      <w:r>
        <w:rPr>
          <w:vertAlign w:val="superscript"/>
        </w:rPr>
        <w:t xml:space="preserve">13</w:t>
      </w:r>
      <w:r>
        <w:t xml:space="preserve">C and 5 to 25 for δ</w:t>
      </w:r>
      <w:r>
        <w:rPr>
          <w:vertAlign w:val="superscript"/>
        </w:rPr>
        <w:t xml:space="preserve">15</w:t>
      </w:r>
      <w:r>
        <w:t xml:space="preserve">N (Figure 2). Since the relationship between signal intensity (volts) is linearly related to carbon and nitrogen content (Figure 1), this equates to the mass range shown in Table 1.</w:t>
      </w:r>
    </w:p>
    <w:bookmarkStart w:id="25" w:name="tbl:ranges"/>
    <w:p>
      <w:pPr>
        <w:pStyle w:val="TableCaption"/>
      </w:pPr>
      <w:r>
        <w:t xml:space="preserve">Table 1: minimum and maximum carbon and nitrogen contents for δ</w:t>
      </w:r>
      <w:r>
        <w:rPr>
          <w:vertAlign w:val="superscript"/>
        </w:rPr>
        <w:t xml:space="preserve">13</w:t>
      </w:r>
      <w:r>
        <w:t xml:space="preserve">C and δ</w:t>
      </w:r>
      <w:r>
        <w:rPr>
          <w:vertAlign w:val="superscript"/>
        </w:rPr>
        <w:t xml:space="preserve">15</w:t>
      </w:r>
      <w:r>
        <w:t xml:space="preserve">N analysis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: minimum and maximum carbon and nitrogen contents for δ13C and δ15N analysi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isotope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minimum (mg)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maximum (mg)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δ</w:t>
            </w:r>
            <w:r>
              <w:rPr>
                <w:vertAlign w:val="superscript"/>
              </w:rPr>
              <w:t xml:space="preserve">13</w:t>
            </w:r>
            <w:r>
              <w:t xml:space="preserve">C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δ</w:t>
            </w:r>
            <w:r>
              <w:rPr>
                <w:vertAlign w:val="superscript"/>
              </w:rPr>
              <w:t xml:space="preserve">15</w:t>
            </w: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</w:tbl>
    <w:bookmarkEnd w:id="25"/>
    <w:bookmarkEnd w:id="26"/>
    <w:bookmarkStart w:id="30" w:name="calculating-sample-size"/>
    <w:p>
      <w:pPr>
        <w:pStyle w:val="Heading1"/>
      </w:pPr>
      <w:r>
        <w:t xml:space="preserve">Calculating Sample Size</w:t>
      </w:r>
    </w:p>
    <w:p>
      <w:pPr>
        <w:pStyle w:val="FirstParagraph"/>
      </w:pPr>
      <w:r>
        <w:t xml:space="preserve">If the carbon and nitrogen content of a material is known prior to analysis you can calculate the optimal sample size using the following equations to calculate the range of sample weights for carbon and nitrogen.</w:t>
      </w:r>
    </w:p>
    <w:bookmarkStart w:id="27" w:name="δ13c-range"/>
    <w:p>
      <w:pPr>
        <w:pStyle w:val="Heading2"/>
      </w:pPr>
      <w:r>
        <w:t xml:space="preserve">δ</w:t>
      </w:r>
      <w:r>
        <w:rPr>
          <w:vertAlign w:val="superscript"/>
        </w:rPr>
        <w:t xml:space="preserve">13</w:t>
      </w:r>
      <w:r>
        <w:t xml:space="preserve">C Range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 </m:t>
          </m:r>
          <m:r>
            <m:t>s</m:t>
          </m:r>
          <m:r>
            <m:t>i</m:t>
          </m:r>
          <m:r>
            <m:t>z</m:t>
          </m:r>
          <m:sSub>
            <m:e>
              <m:r>
                <m:t>e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÷</m:t>
          </m:r>
          <m:r>
            <m:rPr>
              <m:sty m:val="p"/>
            </m:rPr>
            <m:t>(</m:t>
          </m:r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 </m:t>
          </m:r>
          <m:r>
            <m:t>c</m:t>
          </m:r>
          <m:r>
            <m:t>a</m:t>
          </m:r>
          <m:r>
            <m:t>r</m:t>
          </m:r>
          <m:r>
            <m:t>b</m:t>
          </m:r>
          <m:r>
            <m:t>o</m:t>
          </m:r>
          <m:r>
            <m:t>n</m:t>
          </m:r>
          <m:r>
            <m:rPr>
              <m:sty m:val="p"/>
            </m:rPr>
            <m:t>%</m:t>
          </m:r>
          <m:r>
            <m:rPr>
              <m:sty m:val="p"/>
            </m:rPr>
            <m:t>÷</m:t>
          </m:r>
          <m:r>
            <m:t>100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 </m:t>
          </m:r>
          <m:r>
            <m:t>s</m:t>
          </m:r>
          <m:r>
            <m:t>i</m:t>
          </m:r>
          <m:r>
            <m:t>z</m:t>
          </m:r>
          <m:sSub>
            <m:e>
              <m:r>
                <m:t>e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r>
            <m:t>0.8</m:t>
          </m:r>
          <m:r>
            <m:rPr>
              <m:sty m:val="p"/>
            </m:rPr>
            <m:t>÷</m:t>
          </m:r>
          <m:r>
            <m:rPr>
              <m:sty m:val="p"/>
            </m:rPr>
            <m:t>(</m:t>
          </m:r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 </m:t>
          </m:r>
          <m:r>
            <m:t>c</m:t>
          </m:r>
          <m:r>
            <m:t>a</m:t>
          </m:r>
          <m:r>
            <m:t>r</m:t>
          </m:r>
          <m:r>
            <m:t>b</m:t>
          </m:r>
          <m:r>
            <m:t>o</m:t>
          </m:r>
          <m:r>
            <m:t>n</m:t>
          </m:r>
          <m:r>
            <m:rPr>
              <m:sty m:val="p"/>
            </m:rPr>
            <m:t>%</m:t>
          </m:r>
          <m:r>
            <m:rPr>
              <m:sty m:val="p"/>
            </m:rPr>
            <m:t>÷</m:t>
          </m:r>
          <m:r>
            <m:t>100</m:t>
          </m:r>
          <m:r>
            <m:rPr>
              <m:sty m:val="p"/>
            </m:rPr>
            <m:t>)</m:t>
          </m:r>
        </m:oMath>
      </m:oMathPara>
    </w:p>
    <w:bookmarkEnd w:id="27"/>
    <w:bookmarkStart w:id="28" w:name="δ15n-range"/>
    <w:p>
      <w:pPr>
        <w:pStyle w:val="Heading2"/>
      </w:pPr>
      <w:r>
        <w:t xml:space="preserve">δ</w:t>
      </w:r>
      <w:r>
        <w:rPr>
          <w:vertAlign w:val="superscript"/>
        </w:rPr>
        <w:t xml:space="preserve">15</w:t>
      </w:r>
      <w:r>
        <w:t xml:space="preserve">N Range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 </m:t>
          </m:r>
          <m:r>
            <m:t>s</m:t>
          </m:r>
          <m:r>
            <m:t>i</m:t>
          </m:r>
          <m:r>
            <m:t>z</m:t>
          </m:r>
          <m:sSub>
            <m:e>
              <m:r>
                <m:t>e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r>
            <m:t>0.05</m:t>
          </m:r>
          <m:r>
            <m:rPr>
              <m:sty m:val="p"/>
            </m:rPr>
            <m:t>÷</m:t>
          </m:r>
          <m:r>
            <m:rPr>
              <m:sty m:val="p"/>
            </m:rPr>
            <m:t>(</m:t>
          </m:r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 </m:t>
          </m:r>
          <m:r>
            <m:t>n</m:t>
          </m:r>
          <m:r>
            <m:t>i</m:t>
          </m:r>
          <m:r>
            <m:t>t</m:t>
          </m:r>
          <m:r>
            <m:t>r</m:t>
          </m:r>
          <m:r>
            <m:t>o</m:t>
          </m:r>
          <m:r>
            <m:t>g</m:t>
          </m:r>
          <m:r>
            <m:t>e</m:t>
          </m:r>
          <m:r>
            <m:t>n</m:t>
          </m:r>
          <m:r>
            <m:rPr>
              <m:sty m:val="p"/>
            </m:rPr>
            <m:t>%</m:t>
          </m:r>
          <m:r>
            <m:rPr>
              <m:sty m:val="p"/>
            </m:rPr>
            <m:t>÷</m:t>
          </m:r>
          <m:r>
            <m:t>100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 </m:t>
          </m:r>
          <m:r>
            <m:t>s</m:t>
          </m:r>
          <m:r>
            <m:t>i</m:t>
          </m:r>
          <m:r>
            <m:t>z</m:t>
          </m:r>
          <m:sSub>
            <m:e>
              <m:r>
                <m:t>e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÷</m:t>
          </m:r>
          <m:r>
            <m:rPr>
              <m:sty m:val="p"/>
            </m:rPr>
            <m:t>(</m:t>
          </m:r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 </m:t>
          </m:r>
          <m:r>
            <m:t>n</m:t>
          </m:r>
          <m:r>
            <m:t>i</m:t>
          </m:r>
          <m:r>
            <m:t>t</m:t>
          </m:r>
          <m:r>
            <m:t>r</m:t>
          </m:r>
          <m:r>
            <m:t>o</m:t>
          </m:r>
          <m:r>
            <m:t>g</m:t>
          </m:r>
          <m:r>
            <m:t>e</m:t>
          </m:r>
          <m:r>
            <m:t>n</m:t>
          </m:r>
          <m:r>
            <m:rPr>
              <m:sty m:val="p"/>
            </m:rPr>
            <m:t>%</m:t>
          </m:r>
          <m:r>
            <m:rPr>
              <m:sty m:val="p"/>
            </m:rPr>
            <m:t>÷</m:t>
          </m:r>
          <m:r>
            <m:t>100</m:t>
          </m:r>
          <m:r>
            <m:rPr>
              <m:sty m:val="p"/>
            </m:rPr>
            <m:t>)</m:t>
          </m:r>
        </m:oMath>
      </m:oMathPara>
    </w:p>
    <w:bookmarkEnd w:id="28"/>
    <w:bookmarkStart w:id="29" w:name="measuring-both-δ13c-and-δ15n"/>
    <w:p>
      <w:pPr>
        <w:pStyle w:val="Heading2"/>
      </w:pPr>
      <w:r>
        <w:t xml:space="preserve">Measuring both δ</w:t>
      </w:r>
      <w:r>
        <w:rPr>
          <w:vertAlign w:val="superscript"/>
        </w:rPr>
        <w:t xml:space="preserve">13</w:t>
      </w:r>
      <w:r>
        <w:t xml:space="preserve">C and δ</w:t>
      </w:r>
      <w:r>
        <w:rPr>
          <w:vertAlign w:val="superscript"/>
        </w:rPr>
        <w:t xml:space="preserve">15</w:t>
      </w:r>
      <w:r>
        <w:t xml:space="preserve">N</w:t>
      </w:r>
    </w:p>
    <w:p>
      <w:pPr>
        <w:pStyle w:val="FirstParagraph"/>
      </w:pPr>
      <w:r>
        <w:t xml:space="preserve">It is difficult to concurrently measure δ</w:t>
      </w:r>
      <w:r>
        <w:rPr>
          <w:vertAlign w:val="superscript"/>
        </w:rPr>
        <w:t xml:space="preserve">13</w:t>
      </w:r>
      <w:r>
        <w:t xml:space="preserve">C and δ</w:t>
      </w:r>
      <w:r>
        <w:rPr>
          <w:vertAlign w:val="superscript"/>
        </w:rPr>
        <w:t xml:space="preserve">15</w:t>
      </w:r>
      <w:r>
        <w:t xml:space="preserve">N in samples with high C:N ratios. Based on the sample ranges given in Table 1 the maximum C:N ratio is about 16 (</w:t>
      </w:r>
      <m:oMath>
        <m:r>
          <m:t>c</m:t>
        </m:r>
        <m:r>
          <m:t>a</m:t>
        </m:r>
        <m:r>
          <m:t>r</m:t>
        </m:r>
        <m:r>
          <m:t>b</m:t>
        </m:r>
        <m:r>
          <m:t>o</m:t>
        </m:r>
        <m:r>
          <m:t>n</m:t>
        </m:r>
        <m:r>
          <m:t> </m:t>
        </m:r>
        <m:r>
          <m:t>m</m:t>
        </m:r>
        <m:r>
          <m:t>a</m:t>
        </m:r>
        <m:r>
          <m:t>x</m:t>
        </m:r>
        <m:r>
          <m:t>i</m:t>
        </m:r>
        <m:r>
          <m:t>m</m:t>
        </m:r>
        <m:r>
          <m:t>u</m:t>
        </m:r>
        <m:r>
          <m:t>m</m:t>
        </m:r>
        <m:r>
          <m:rPr>
            <m:sty m:val="p"/>
          </m:rPr>
          <m:t>÷</m:t>
        </m:r>
        <m:r>
          <m:t>n</m:t>
        </m:r>
        <m:r>
          <m:t>i</m:t>
        </m:r>
        <m:r>
          <m:t>t</m:t>
        </m:r>
        <m:r>
          <m:t>r</m:t>
        </m:r>
        <m:r>
          <m:t>o</m:t>
        </m:r>
        <m:r>
          <m:t>g</m:t>
        </m:r>
        <m:r>
          <m:t>e</m:t>
        </m:r>
        <m:r>
          <m:t>n</m:t>
        </m:r>
        <m:r>
          <m:t> </m:t>
        </m:r>
        <m:r>
          <m:t>m</m:t>
        </m:r>
        <m:r>
          <m:t>i</m:t>
        </m:r>
        <m:r>
          <m:t>n</m:t>
        </m:r>
        <m:r>
          <m:t>i</m:t>
        </m:r>
        <m:r>
          <m:t>m</m:t>
        </m:r>
        <m:r>
          <m:t>u</m:t>
        </m:r>
        <m:r>
          <m:t>m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0.8</m:t>
        </m:r>
        <m:r>
          <m:rPr>
            <m:sty m:val="p"/>
          </m:rPr>
          <m:t>÷</m:t>
        </m:r>
        <m:r>
          <m:t>0.05</m:t>
        </m:r>
      </m:oMath>
      <w:r>
        <w:t xml:space="preserve">) and the minimum C:N ratio is 1 (</w:t>
      </w:r>
      <m:oMath>
        <m:r>
          <m:t>c</m:t>
        </m:r>
        <m:r>
          <m:t>a</m:t>
        </m:r>
        <m:r>
          <m:t>r</m:t>
        </m:r>
        <m:r>
          <m:t>b</m:t>
        </m:r>
        <m:r>
          <m:t>o</m:t>
        </m:r>
        <m:r>
          <m:t>n</m:t>
        </m:r>
        <m:r>
          <m:t> </m:t>
        </m:r>
        <m:r>
          <m:t>m</m:t>
        </m:r>
        <m:r>
          <m:t>i</m:t>
        </m:r>
        <m:r>
          <m:t>n</m:t>
        </m:r>
        <m:r>
          <m:t>i</m:t>
        </m:r>
        <m:r>
          <m:t>m</m:t>
        </m:r>
        <m:r>
          <m:t>u</m:t>
        </m:r>
        <m:r>
          <m:t>m</m:t>
        </m:r>
        <m:r>
          <m:rPr>
            <m:sty m:val="p"/>
          </m:rPr>
          <m:t>÷</m:t>
        </m:r>
        <m:r>
          <m:t>n</m:t>
        </m:r>
        <m:r>
          <m:t>i</m:t>
        </m:r>
        <m:r>
          <m:t>t</m:t>
        </m:r>
        <m:r>
          <m:t>r</m:t>
        </m:r>
        <m:r>
          <m:t>o</m:t>
        </m:r>
        <m:r>
          <m:t>g</m:t>
        </m:r>
        <m:r>
          <m:t>e</m:t>
        </m:r>
        <m:r>
          <m:t>n</m:t>
        </m:r>
        <m:r>
          <m:t> </m:t>
        </m:r>
        <m:r>
          <m:t>m</m:t>
        </m:r>
        <m:r>
          <m:t>a</m:t>
        </m:r>
        <m:r>
          <m:t>x</m:t>
        </m:r>
        <m:r>
          <m:t>i</m:t>
        </m:r>
        <m:r>
          <m:t>m</m:t>
        </m:r>
        <m:r>
          <m:t>u</m:t>
        </m:r>
        <m:r>
          <m:t>m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0.2</m:t>
        </m:r>
        <m:r>
          <m:rPr>
            <m:sty m:val="p"/>
          </m:rPr>
          <m:t>÷</m:t>
        </m:r>
        <m:r>
          <m:t>0.2</m:t>
        </m:r>
      </m:oMath>
      <w:r>
        <w:t xml:space="preserve">). For analyses of materials with C:N ratios outside this range please consult the Technical Director prior to sample preparation.</w:t>
      </w:r>
    </w:p>
    <w:p>
      <w:pPr>
        <w:pStyle w:val="BodyText"/>
      </w:pPr>
      <w:r>
        <w:t xml:space="preserve">If your samples have a C:N ratio between about 1 to 16 then δ</w:t>
      </w:r>
      <w:r>
        <w:rPr>
          <w:vertAlign w:val="superscript"/>
        </w:rPr>
        <w:t xml:space="preserve">13</w:t>
      </w:r>
      <w:r>
        <w:t xml:space="preserve">C and δ</w:t>
      </w:r>
      <w:r>
        <w:rPr>
          <w:vertAlign w:val="superscript"/>
        </w:rPr>
        <w:t xml:space="preserve">15</w:t>
      </w:r>
      <w:r>
        <w:t xml:space="preserve">N can be measured concurrently. Calculate the range of acceptable sample sizes using the equations for carbon and nitrogen shown above and then choose a final sample size that overlaps both results. If your samples have a C:N ratio significantly outside this range then δ</w:t>
      </w:r>
      <w:r>
        <w:rPr>
          <w:vertAlign w:val="superscript"/>
        </w:rPr>
        <w:t xml:space="preserve">13</w:t>
      </w:r>
      <w:r>
        <w:t xml:space="preserve">C and δ</w:t>
      </w:r>
      <w:r>
        <w:rPr>
          <w:vertAlign w:val="superscript"/>
        </w:rPr>
        <w:t xml:space="preserve">15</w:t>
      </w:r>
      <w:r>
        <w:t xml:space="preserve">N may need to be measured separately. Please consult the Technical Director for guidance.</w:t>
      </w:r>
    </w:p>
    <w:bookmarkEnd w:id="29"/>
    <w:bookmarkEnd w:id="30"/>
    <w:bookmarkStart w:id="32" w:name="commonly-analyzed-materials"/>
    <w:p>
      <w:pPr>
        <w:pStyle w:val="Heading1"/>
      </w:pPr>
      <w:r>
        <w:t xml:space="preserve">Commonly Analyzed Materials</w:t>
      </w:r>
    </w:p>
    <w:bookmarkStart w:id="31" w:name="tbl:common"/>
    <w:p>
      <w:pPr>
        <w:pStyle w:val="TableCaption"/>
      </w:pPr>
      <w:r>
        <w:t xml:space="preserve">Table 2: Carbon and nitrogen contents of commonly analyzed materials.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: Carbon and nitrogen contents of commonly analyzed material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carbon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nitrogen 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acetanilide</w:t>
            </w:r>
          </w:p>
        </w:tc>
        <w:tc>
          <w:p>
            <w:pPr>
              <w:pStyle w:val="Compact"/>
              <w:jc w:val="center"/>
            </w:pPr>
            <w:r>
              <w:t xml:space="preserve">71.09</w:t>
            </w:r>
          </w:p>
        </w:tc>
        <w:tc>
          <w:p>
            <w:pPr>
              <w:pStyle w:val="Compact"/>
              <w:jc w:val="center"/>
            </w:pPr>
            <w:r>
              <w:t xml:space="preserve">10.36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biochar</w:t>
            </w:r>
          </w:p>
        </w:tc>
        <w:tc>
          <w:p>
            <w:pPr>
              <w:pStyle w:val="Compact"/>
              <w:jc w:val="center"/>
            </w:pPr>
            <w:r>
              <w:t xml:space="preserve">&gt; 80</w:t>
            </w:r>
          </w:p>
        </w:tc>
        <w:tc>
          <w:p>
            <w:pPr>
              <w:pStyle w:val="Compact"/>
              <w:jc w:val="center"/>
            </w:pPr>
            <w:r>
              <w:t xml:space="preserve">&lt; 1.5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collagen</w:t>
            </w:r>
          </w:p>
        </w:tc>
        <w:tc>
          <w:p>
            <w:pPr>
              <w:pStyle w:val="Compact"/>
              <w:jc w:val="center"/>
            </w:pPr>
            <w:r>
              <w:t xml:space="preserve">40 - 45</w:t>
            </w:r>
          </w:p>
        </w:tc>
        <w:tc>
          <w:p>
            <w:pPr>
              <w:pStyle w:val="Compact"/>
              <w:jc w:val="center"/>
            </w:pPr>
            <w:r>
              <w:t xml:space="preserve">10 - 15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glutamic acid</w:t>
            </w:r>
          </w:p>
        </w:tc>
        <w:tc>
          <w:p>
            <w:pPr>
              <w:pStyle w:val="Compact"/>
              <w:jc w:val="center"/>
            </w:pPr>
            <w:r>
              <w:t xml:space="preserve">40.3</w:t>
            </w:r>
          </w:p>
        </w:tc>
        <w:tc>
          <w:p>
            <w:pPr>
              <w:pStyle w:val="Compact"/>
              <w:jc w:val="center"/>
            </w:pPr>
            <w:r>
              <w:t xml:space="preserve">9.52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keratin</w:t>
            </w:r>
          </w:p>
        </w:tc>
        <w:tc>
          <w:p>
            <w:pPr>
              <w:pStyle w:val="Compact"/>
              <w:jc w:val="center"/>
            </w:pPr>
            <w:r>
              <w:t xml:space="preserve">40 - 45</w:t>
            </w:r>
          </w:p>
        </w:tc>
        <w:tc>
          <w:p>
            <w:pPr>
              <w:pStyle w:val="Compact"/>
              <w:jc w:val="center"/>
            </w:pPr>
            <w:r>
              <w:t xml:space="preserve">10 - 15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plants</w:t>
            </w:r>
          </w:p>
        </w:tc>
        <w:tc>
          <w:p>
            <w:pPr>
              <w:pStyle w:val="Compact"/>
              <w:jc w:val="center"/>
            </w:pPr>
            <w:r>
              <w:t xml:space="preserve">40 - 50</w:t>
            </w:r>
          </w:p>
        </w:tc>
        <w:tc>
          <w:p>
            <w:pPr>
              <w:pStyle w:val="Compact"/>
              <w:jc w:val="center"/>
            </w:pPr>
            <w:r>
              <w:t xml:space="preserve">&lt; 1 - 5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proteins</w:t>
            </w:r>
          </w:p>
        </w:tc>
        <w:tc>
          <w:p>
            <w:pPr>
              <w:pStyle w:val="Compact"/>
              <w:jc w:val="center"/>
            </w:pPr>
            <w:r>
              <w:t xml:space="preserve">40 - 45</w:t>
            </w:r>
          </w:p>
        </w:tc>
        <w:tc>
          <w:p>
            <w:pPr>
              <w:pStyle w:val="Compact"/>
              <w:jc w:val="center"/>
            </w:pPr>
            <w:r>
              <w:t xml:space="preserve">10 - 15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soil</w:t>
            </w:r>
          </w:p>
        </w:tc>
        <w:tc>
          <w:p>
            <w:pPr>
              <w:pStyle w:val="Compact"/>
              <w:jc w:val="center"/>
            </w:pPr>
            <w:r>
              <w:t xml:space="preserve">highly variable</w:t>
            </w:r>
          </w:p>
        </w:tc>
        <w:tc>
          <w:p>
            <w:pPr>
              <w:pStyle w:val="Compact"/>
              <w:jc w:val="center"/>
            </w:pPr>
            <w:r>
              <w:t xml:space="preserve">highly variable</w:t>
            </w:r>
          </w:p>
        </w:tc>
      </w:tr>
    </w:tbl>
    <w:bookmarkEnd w:id="31"/>
    <w:bookmarkEnd w:id="32"/>
    <w:bookmarkStart w:id="35" w:name="worked-example"/>
    <w:p>
      <w:pPr>
        <w:pStyle w:val="Heading1"/>
      </w:pPr>
      <w:r>
        <w:t xml:space="preserve">Worked Example</w:t>
      </w:r>
    </w:p>
    <w:p>
      <w:pPr>
        <w:pStyle w:val="FirstParagraph"/>
      </w:pPr>
      <w:r>
        <w:t xml:space="preserve">Acetanilide is common reference material that is 71.09% carbon and 10.36% nitrogen (Table 2).</w:t>
      </w:r>
    </w:p>
    <w:bookmarkStart w:id="33" w:name="δ13c"/>
    <w:p>
      <w:pPr>
        <w:pStyle w:val="Heading2"/>
      </w:pPr>
      <w:r>
        <w:t xml:space="preserve">δ</w:t>
      </w:r>
      <w:r>
        <w:rPr>
          <w:vertAlign w:val="superscript"/>
        </w:rPr>
        <w:t xml:space="preserve">13</w:t>
      </w:r>
      <w:r>
        <w:t xml:space="preserve">C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 </m:t>
          </m:r>
          <m:r>
            <m:t>s</m:t>
          </m:r>
          <m:r>
            <m:t>i</m:t>
          </m:r>
          <m:r>
            <m:t>z</m:t>
          </m:r>
          <m:sSub>
            <m:e>
              <m:r>
                <m:t>e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r>
            <m:t>0.28</m:t>
          </m:r>
          <m:r>
            <m:t> </m:t>
          </m:r>
          <m:r>
            <m:t>m</m:t>
          </m:r>
          <m:r>
            <m:t>g</m:t>
          </m:r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÷</m:t>
          </m:r>
          <m:r>
            <m:rPr>
              <m:sty m:val="p"/>
            </m:rPr>
            <m:t>(</m:t>
          </m:r>
          <m:r>
            <m:t>71.09</m:t>
          </m:r>
          <m:r>
            <m:rPr>
              <m:sty m:val="p"/>
            </m:rPr>
            <m:t>%</m:t>
          </m:r>
          <m:r>
            <m:rPr>
              <m:sty m:val="p"/>
            </m:rPr>
            <m:t>÷</m:t>
          </m:r>
          <m:r>
            <m:t>100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 </m:t>
          </m:r>
          <m:r>
            <m:t>s</m:t>
          </m:r>
          <m:r>
            <m:t>i</m:t>
          </m:r>
          <m:r>
            <m:t>z</m:t>
          </m:r>
          <m:sSub>
            <m:e>
              <m:r>
                <m:t>e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r>
            <m:t>1.13</m:t>
          </m:r>
          <m:r>
            <m:t> </m:t>
          </m:r>
          <m:r>
            <m:t>m</m:t>
          </m:r>
          <m:r>
            <m:t>g</m:t>
          </m:r>
          <m:r>
            <m:rPr>
              <m:sty m:val="p"/>
            </m:rPr>
            <m:t>=</m:t>
          </m:r>
          <m:r>
            <m:t>0.8</m:t>
          </m:r>
          <m:r>
            <m:rPr>
              <m:sty m:val="p"/>
            </m:rPr>
            <m:t>÷</m:t>
          </m:r>
          <m:r>
            <m:rPr>
              <m:sty m:val="p"/>
            </m:rPr>
            <m:t>(</m:t>
          </m:r>
          <m:r>
            <m:t>71.09</m:t>
          </m:r>
          <m:r>
            <m:rPr>
              <m:sty m:val="p"/>
            </m:rPr>
            <m:t>%</m:t>
          </m:r>
          <m:r>
            <m:rPr>
              <m:sty m:val="p"/>
            </m:rPr>
            <m:t>÷</m:t>
          </m:r>
          <m:r>
            <m:t>100</m:t>
          </m:r>
          <m:r>
            <m:rPr>
              <m:sty m:val="p"/>
            </m:rPr>
            <m:t>)</m:t>
          </m:r>
        </m:oMath>
      </m:oMathPara>
    </w:p>
    <w:bookmarkEnd w:id="33"/>
    <w:bookmarkStart w:id="34" w:name="δ15n"/>
    <w:p>
      <w:pPr>
        <w:pStyle w:val="Heading2"/>
      </w:pPr>
      <w:r>
        <w:t xml:space="preserve">δ</w:t>
      </w:r>
      <w:r>
        <w:rPr>
          <w:vertAlign w:val="superscript"/>
        </w:rPr>
        <w:t xml:space="preserve">15</w:t>
      </w:r>
      <w:r>
        <w:t xml:space="preserve">N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 </m:t>
          </m:r>
          <m:r>
            <m:t>s</m:t>
          </m:r>
          <m:r>
            <m:t>i</m:t>
          </m:r>
          <m:r>
            <m:t>z</m:t>
          </m:r>
          <m:sSub>
            <m:e>
              <m:r>
                <m:t>e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r>
            <m:t>0.48</m:t>
          </m:r>
          <m:r>
            <m:t> </m:t>
          </m:r>
          <m:r>
            <m:t>m</m:t>
          </m:r>
          <m:r>
            <m:t>g</m:t>
          </m:r>
          <m:r>
            <m:rPr>
              <m:sty m:val="p"/>
            </m:rPr>
            <m:t>=</m:t>
          </m:r>
          <m:r>
            <m:t>0.05</m:t>
          </m:r>
          <m:r>
            <m:rPr>
              <m:sty m:val="p"/>
            </m:rPr>
            <m:t>÷</m:t>
          </m:r>
          <m:r>
            <m:rPr>
              <m:sty m:val="p"/>
            </m:rPr>
            <m:t>(</m:t>
          </m:r>
          <m:r>
            <m:t>10.36</m:t>
          </m:r>
          <m:r>
            <m:rPr>
              <m:sty m:val="p"/>
            </m:rPr>
            <m:t>%</m:t>
          </m:r>
          <m:r>
            <m:rPr>
              <m:sty m:val="p"/>
            </m:rPr>
            <m:t>÷</m:t>
          </m:r>
          <m:r>
            <m:t>100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a</m:t>
          </m:r>
          <m:r>
            <m:t>m</m:t>
          </m:r>
          <m:r>
            <m:t>p</m:t>
          </m:r>
          <m:r>
            <m:t>l</m:t>
          </m:r>
          <m:r>
            <m:t>e</m:t>
          </m:r>
          <m:r>
            <m:t> </m:t>
          </m:r>
          <m:r>
            <m:t>s</m:t>
          </m:r>
          <m:r>
            <m:t>i</m:t>
          </m:r>
          <m:r>
            <m:t>z</m:t>
          </m:r>
          <m:sSub>
            <m:e>
              <m:r>
                <m:t>e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r>
            <m:t>1.93</m:t>
          </m:r>
          <m:r>
            <m:t> </m:t>
          </m:r>
          <m:r>
            <m:t>m</m:t>
          </m:r>
          <m:r>
            <m:t>g</m:t>
          </m:r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÷</m:t>
          </m:r>
          <m:r>
            <m:rPr>
              <m:sty m:val="p"/>
            </m:rPr>
            <m:t>(</m:t>
          </m:r>
          <m:r>
            <m:t>10.36</m:t>
          </m:r>
          <m:r>
            <m:rPr>
              <m:sty m:val="p"/>
            </m:rPr>
            <m:t>%</m:t>
          </m:r>
          <m:r>
            <m:rPr>
              <m:sty m:val="p"/>
            </m:rPr>
            <m:t>÷</m:t>
          </m:r>
          <m:r>
            <m:t>100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In this case the minimum sample size for δ</w:t>
      </w:r>
      <w:r>
        <w:rPr>
          <w:vertAlign w:val="superscript"/>
        </w:rPr>
        <w:t xml:space="preserve">13</w:t>
      </w:r>
      <w:r>
        <w:t xml:space="preserve">C measurements is lower than the minimum for measuring δ</w:t>
      </w:r>
      <w:r>
        <w:rPr>
          <w:vertAlign w:val="superscript"/>
        </w:rPr>
        <w:t xml:space="preserve">15</w:t>
      </w:r>
      <w:r>
        <w:t xml:space="preserve">N. the minimum sample size for δ</w:t>
      </w:r>
      <w:r>
        <w:rPr>
          <w:vertAlign w:val="superscript"/>
        </w:rPr>
        <w:t xml:space="preserve">15</w:t>
      </w:r>
      <w:r>
        <w:t xml:space="preserve">N analysis is in the middle of the range for δ</w:t>
      </w:r>
      <w:r>
        <w:rPr>
          <w:vertAlign w:val="superscript"/>
        </w:rPr>
        <w:t xml:space="preserve">13</w:t>
      </w:r>
      <w:r>
        <w:t xml:space="preserve">C so a sample size of</w:t>
      </w:r>
      <w:r>
        <w:t xml:space="preserve"> </w:t>
      </w:r>
      <w:r>
        <w:rPr>
          <w:bCs/>
          <w:b/>
        </w:rPr>
        <w:t xml:space="preserve">0.5 mg</w:t>
      </w:r>
      <w:r>
        <w:t xml:space="preserve"> </w:t>
      </w:r>
      <w:r>
        <w:t xml:space="preserve">would be appropriate.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Costech 4010 Elemental Analyzer Sample Size Determination v0.2</dc:title>
  <dc:creator>Robin B. Trayler</dc:creator>
  <cp:keywords/>
  <dcterms:created xsi:type="dcterms:W3CDTF">2021-01-26T21:58:27Z</dcterms:created>
  <dcterms:modified xsi:type="dcterms:W3CDTF">2021-01-26T21:58:27Z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>Figure</vt:lpwstr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fontsize">
    <vt:lpwstr>12pt</vt:lpwstr>
  </property>
  <property fmtid="{D5CDD505-2E9C-101B-9397-08002B2CF9AE}" pid="22" name="geometry">
    <vt:lpwstr>margin=1in</vt:lpwstr>
  </property>
  <property fmtid="{D5CDD505-2E9C-101B-9397-08002B2CF9AE}" pid="23" name="header-includes">
    <vt:lpwstr/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Helvetica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pdf-engine">
    <vt:lpwstr>xelatex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>Table</vt:lpwstr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