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System Sequence Catalogue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006B6B"/>
          <w:sz w:val="20"/>
          <w:szCs w:val="20"/>
        </w:rPr>
        <w:t xml:space="preserve">NutriScore Checkout Tool (NUT-04) -- v2.0</w:t>
      </w:r>
    </w:p>
    <w:p>
      <w:pPr>
        <w:spacing w:after="160" w:before="4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JHUB Africa AfyaVentures | June 2026</w:t>
      </w:r>
    </w:p>
    <w:tbl>
      <w:tblPr>
        <w:tblW w:type="dxa" w:w="9360"/>
        <w:tblBorders>
          <w:top w:val="single" w:color="1F3864" w:sz="4"/>
          <w:left w:val="single" w:color="1F3864" w:sz="16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* Purpose: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Documents inter-component message flows using canonical actor names from the Terminology Reconciliation Log. Each sequence corresponds to one or more Use Cases and maps to architectural modules in NutriScore_Requirements_v2_Evidence_Linked.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SD-001: GroceryProduct Analysis Sequence (UC-001 + UC-002)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Trigger: ContentScript MutationObserver fires on GroceryProduct DOM element.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Actors: Consumer, ContentScript, BackgroundServiceWorker, OpenFoodFactsAPI, KenyanFallbackDatabase, FoodClassifier, ScoreEngine, DiseaseEngine, UIWidget, IndexedDBCache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800"/>
        <w:gridCol w:w="2000"/>
        <w:gridCol w:w="3560"/>
      </w:tblGrid>
      <w:tr>
        <w:trPr>
          <w:tblHeader/>
        </w:trPr>
        <w:tc>
          <w:tcPr>
            <w:tcW w:type="dxa" w:w="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Message / Call</w:t>
            </w:r>
          </w:p>
        </w:tc>
        <w:tc>
          <w:tcPr>
            <w:tcW w:type="dxa" w:w="3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Payload / Notes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Consumer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ContentScript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[DOM event: product element added]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MutationObserver fires with 300ms debounce (FR-001); GroceryProduct element identified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ContentScript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SCORE_REQUEST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GroceryProductID, ProductName, RetailerCode, PriceKES (if available)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IndexedDBCache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cache.get(GroceryProductID)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Cache hit AND age &lt; 7 days: skip to step 9; else proceed to step 4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OpenFoodFactsAPI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GET /api/v2/search?query={ProductName}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HTTPS only (SEC-001); no user identifier in request (DATA-004)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OpenFoodFactsAPI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JSON response OR timeout (&gt;3s)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NutritionalProfile (7 fields per DATA-001) OR no match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4b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KenyanFallbackDatabase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fallback.get(ProductName)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Only if OpenFoodFactsAPI returns no match or times out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4c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KenyanFallbackDatabase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NutritionalProfile OR not found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If not found: SCORE_RESPONSE(LetterGrade=UNSCORED) -&gt; step 9; UIWidget grey "?" badge (NFR-008)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FoodClassifier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classify(NutritionalProfile, ProductName)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Triggers FSAProductCategory assignment (FR-006) and SPF exclusion gate (FR-007)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FoodClassifier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{FSAProductCategoryCode, IsExcluded}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If IsExcluded=true: SCORE_RESPONSE(suppressed=true) -&gt; step 9; UIWidget renders no badge (BR-104)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ScoreEngine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score(NutritionalProfile, FSAProductCategoryCode)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2023 FSA-NPS calculation (FR-003, BR-102); category-specific formula (EV-SCI-006)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ScoreEngine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NutritionalScore{LetterGrade, NumericScore, AlgorithmVersion="FSA-NPS-2023"}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Score computation complete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DiseaseEngine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evaluate(NutritionalProfile, UserProfile.HealthConditionToggles)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Evaluates all active DiseaseRules (FR-009, FR-010, FR-011, FR-012)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DiseaseEngine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[]HealthWarning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Zero or more HealthWarnings; each: ActualValue, ThresholdValue, AlertSeverityLevel, DisclaimerText (AI-003)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IndexedDBCache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cache.set(GroceryProductID, {NutritionalScore, NutritionalProfile})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7-day TTL; exactly 7 NutritionalProfile fields (DATA-001)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ContentScript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SCORE_RESPONSE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NutritionalScore, NOVAProcessingLevel, []HealthWarning; total SD-001 elapsed time &lt;= 2s (NFR-001)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ContentScript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render(NutritionalScore, NOVAProcessingLevel, []HealthWarning)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Shadow DOM encapsulation (NFR-002); CSS custom properties for colours (NFR-006); aria-label on badge (ACC-001)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Consumer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[Badge + NOVAProcessingLevel + HealthWarning panels]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CLS=0.00. HealthWarning panels include AI-003 disclaimer.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SD-002: AlternativeRecommendation Sequence (UC-003)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Trigger: Consumer clicks "See healthier alternatives" in UIWidget for D/E-scored GroceryProduct.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800"/>
        <w:gridCol w:w="2000"/>
        <w:gridCol w:w="3360"/>
      </w:tblGrid>
      <w:tr>
        <w:trPr>
          <w:tblHeader/>
        </w:trPr>
        <w:tc>
          <w:tcPr>
            <w:tcW w:type="dxa" w:w="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Message / Call</w:t>
            </w:r>
          </w:p>
        </w:tc>
        <w:tc>
          <w:tcPr>
            <w:tcW w:type="dxa" w:w="3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Payload / Notes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Consumer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[Click: "See healthier alternatives"]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Only available for LetterGrade D or E (FR-013)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ALTERNATIVES_REQUEST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SourceGroceryProductID, FSAProductCategoryCode, PriceKES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AlternativesEngine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findAlternatives(SourceGroceryProductID, FSAProductCategoryCode, PriceKES)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Multi-factor ranking per AI-001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AlternativesEngine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IndexedDBCache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cache.query(FSAProductCategoryCode, LetterGrade in [A,B,C])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MANDATORY category match (BR-109); sorted by LetterGrade A first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IndexedDBCache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AlternativesEngine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[]GroceryProduct candidates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Same FSAProductCategoryCode; higher LetterGrade than source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AlternativesEngine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AlternativesEngine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filterByPrice(candidates, PriceKES, 0.30)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+/-30% price filter; widen to 50% if fewer than 3 results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AlternativesEngine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AlternativesEngine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rankByRelevanceScore(filtered)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RelevanceScore = 0.60*(LetterGradeRank)+0.30*(CategoryMatch)+0.10*(PriceProximity)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AlternativesEngine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AlternativesEngine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generateExplanationText(topN)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AI-002: "Grade A (vs E). Same category: [code]. 70% less sugar." Flesch-Kincaid &lt;=8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ContentScript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ALTERNATIVES_RESPONSE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Top 3+ AlternativeRecommendation objects with ExplanationText + AI-003 disclaimer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Consumer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[Alternatives drawer rendered]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&gt;=3 cards; NutritionalScore badges; ExplanationText; AI-003 disclaimer on each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SD-003: Shopping History Dashboard Sequence (UC-004)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Trigger: Consumer opens Dashboard tab. Precondition: UserProfile.ConsentGrantedAt is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800"/>
        <w:gridCol w:w="2200"/>
        <w:gridCol w:w="3160"/>
      </w:tblGrid>
      <w:tr>
        <w:trPr>
          <w:tblHeader/>
        </w:trPr>
        <w:tc>
          <w:tcPr>
            <w:tcW w:type="dxa" w:w="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Message / Call</w:t>
            </w:r>
          </w:p>
        </w:tc>
        <w:tc>
          <w:tcPr>
            <w:tcW w:type="dxa" w:w="3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Payload / Notes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Consumer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[Open Dashboard tab]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Extension popup dashboard.html loaded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IndexedDBCache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history.getAll(UserID)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 ShoppingHistory records for this UserID; no server call (DATA-004)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IndexedDBCache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[]ShoppingHistory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{GroceryProductID, NutritionalScoreLetterGrade, ScannedAt} array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groupByWeek(history)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Groups by week; calculates % A+B LetterGrade per week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Consumer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[Dashboard chart rendered]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Local-only data; label: "Data stored only on this device"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SD-004: User Preferences and Data Deletion Sequence (UC-005)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Trigger: Consumer opens Settings panel in UIWidget.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800"/>
        <w:gridCol w:w="2000"/>
        <w:gridCol w:w="3360"/>
      </w:tblGrid>
      <w:tr>
        <w:trPr>
          <w:tblHeader/>
        </w:trPr>
        <w:tc>
          <w:tcPr>
            <w:tcW w:type="dxa" w:w="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Message / Call</w:t>
            </w:r>
          </w:p>
        </w:tc>
        <w:tc>
          <w:tcPr>
            <w:tcW w:type="dxa" w:w="3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Payload / Notes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Consumer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[Open Settings panel]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Extension popup settings view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IndexedDBCache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userProfile.get(UserID)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Retrieve current HealthConditionToggles to pre-populate toggles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IndexedDBCache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UserProfile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{DIABETES, HYPERTENSION, CVD, KIDNEY} boolean flags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Consumer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[Toggle HealthConditionCode ON/OFF]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Updates local form state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PREFERENCES_UPDATE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Updated HealthConditionToggles JSON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IndexedDBCache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userProfile.set(UserID, HealthConditionToggles)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Local only; never transmitted (SEC-003)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Consumer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[Click "Delete all my data"]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Confirmation prompt shown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DATA_DELETION_REQUEST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User confirmation received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IndexedDBCache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indexedDB.deleteAll()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Clears ALL stores: history, scores, profiles, products (DATA-003)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IndexedDBCache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deletion confirmed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 stores empty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Consumer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[Toast: "All your data has been deleted."]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Completed within 1 second of step 8 (TC-DEL)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Sequence-to-Use-Case-to-Requirement Mapping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400"/>
        <w:gridCol w:w="4960"/>
      </w:tblGrid>
      <w:tr>
        <w:trPr>
          <w:tblHeader/>
        </w:trPr>
        <w:tc>
          <w:tcPr>
            <w:tcW w:type="dxa" w:w="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ID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 Cases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Actors</w:t>
            </w:r>
          </w:p>
        </w:tc>
        <w:tc>
          <w:tcPr>
            <w:tcW w:type="dxa" w:w="49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Requirements Addressed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SD-001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UC-001, UC-002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Consumer, ContentScript, BackgroundServiceWorker, OpenFoodFactsAPI, KenyanFallbackDatabase, FoodClassifier, ScoreEngine, DiseaseEngine, UIWidget, IndexedDBCache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FR-001 to FR-012, NFR-001, NFR-002, NFR-006, NFR-008, DATA-001, DATA-004, AI-003, SEC-001, ACC-001, ACC-002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SD-002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UC-003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Consumer, BackgroundServiceWorker, AlternativesEngine, IndexedDBCache, UIWidget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FR-013, AI-001, AI-002, AI-003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SD-003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UC-004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Consumer, UIWidget, IndexedDBCache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DATA-002, DATA-003, DATA-004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SD-004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UC-005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Consumer, UIWidget, BackgroundServiceWorker, IndexedDBCache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DATA-001 to DATA-003, SEC-003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B6B" w:sz="4" w:space="1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D1D5DB"/>
        <w:sz w:val="14"/>
        <w:szCs w:val="14"/>
      </w:rPr>
      <w:t xml:space="preserve">JHUB Africa AfyaVentures 2026  |  Page </w:t>
    </w:r>
    <w:r>
      <w:rPr>
        <w:rFonts w:ascii="Arial" w:cs="Arial" w:eastAsia="Arial" w:hAnsi="Arial"/>
        <w:color w:val="D1D5D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D1D5DB"/>
        <w:sz w:val="14"/>
        <w:szCs w:val="14"/>
      </w:rPr>
      <w:t xml:space="preserve"> of </w:t>
    </w:r>
    <w:r>
      <w:rPr>
        <w:rFonts w:ascii="Arial" w:cs="Arial" w:eastAsia="Arial" w:hAnsi="Arial"/>
        <w:color w:val="D1D5D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B6B" w:sz="4" w:space="1"/>
      </w:pBdr>
      <w:tabs>
        <w:tab w:val="right" w:pos="9026"/>
      </w:tabs>
      <w:spacing w:after="60" w:before="0"/>
    </w:pPr>
    <w:r>
      <w:rPr>
        <w:rFonts w:ascii="Arial" w:cs="Arial" w:eastAsia="Arial" w:hAnsi="Arial"/>
        <w:b/>
        <w:bCs/>
        <w:color w:val="006B6B"/>
        <w:sz w:val="15"/>
        <w:szCs w:val="15"/>
      </w:rPr>
      <w:t xml:space="preserve">NutriScore Checkout Tool -- NUT-04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D1D5DB"/>
        <w:sz w:val="14"/>
        <w:szCs w:val="14"/>
      </w:rPr>
      <w:t xml:space="preserve">System Sequence Catalogue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Arial" w:cs="Arial" w:eastAsia="Arial" w:hAnsi="Arial"/>
      <w:b/>
      <w:bCs/>
      <w:color w:val="006B6B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Arial" w:cs="Arial" w:eastAsia="Arial" w:hAnsi="Arial"/>
      <w:b/>
      <w:bCs/>
      <w:color w:val="1F386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2026-06-29T06:21:17.001Z</dcterms:created>
  <dcterms:modified xsi:type="dcterms:W3CDTF">2026-06-29T06:21:17.001Z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