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60" w:rsidRDefault="0085087C" w:rsidP="00B87B98">
      <w:pPr>
        <w:jc w:val="center"/>
        <w:rPr>
          <w:rFonts w:ascii="Arial" w:hAnsi="Arial" w:cs="Arial"/>
          <w:b/>
          <w:sz w:val="24"/>
          <w:szCs w:val="24"/>
        </w:rPr>
      </w:pPr>
      <w:r w:rsidRPr="00F153C9">
        <w:rPr>
          <w:rFonts w:ascii="Arial" w:hAnsi="Arial" w:cs="Arial"/>
          <w:b/>
          <w:sz w:val="24"/>
          <w:szCs w:val="24"/>
        </w:rPr>
        <w:t>Implementing</w:t>
      </w:r>
      <w:r w:rsidR="00E829DE" w:rsidRPr="00F153C9">
        <w:rPr>
          <w:rFonts w:ascii="Arial" w:hAnsi="Arial" w:cs="Arial"/>
          <w:b/>
          <w:sz w:val="24"/>
          <w:szCs w:val="24"/>
        </w:rPr>
        <w:t xml:space="preserve"> a New Contract</w:t>
      </w:r>
      <w:r w:rsidR="00B87B98" w:rsidRPr="00F153C9">
        <w:rPr>
          <w:rFonts w:ascii="Arial" w:hAnsi="Arial" w:cs="Arial"/>
          <w:b/>
          <w:sz w:val="24"/>
          <w:szCs w:val="24"/>
        </w:rPr>
        <w:t xml:space="preserve"> of Employment </w:t>
      </w:r>
      <w:r w:rsidR="00E829DE" w:rsidRPr="00F153C9">
        <w:rPr>
          <w:rFonts w:ascii="Arial" w:hAnsi="Arial" w:cs="Arial"/>
          <w:b/>
          <w:sz w:val="24"/>
          <w:szCs w:val="24"/>
        </w:rPr>
        <w:t xml:space="preserve">for </w:t>
      </w:r>
      <w:r w:rsidR="009E4D70" w:rsidRPr="00F153C9">
        <w:rPr>
          <w:rFonts w:ascii="Arial" w:hAnsi="Arial" w:cs="Arial"/>
          <w:b/>
          <w:sz w:val="24"/>
          <w:szCs w:val="24"/>
        </w:rPr>
        <w:t xml:space="preserve">Support </w:t>
      </w:r>
      <w:r w:rsidR="00E829DE" w:rsidRPr="00F153C9">
        <w:rPr>
          <w:rFonts w:ascii="Arial" w:hAnsi="Arial" w:cs="Arial"/>
          <w:b/>
          <w:sz w:val="24"/>
          <w:szCs w:val="24"/>
        </w:rPr>
        <w:t>Staff in Ealing, Hammersmith and West London College</w:t>
      </w:r>
    </w:p>
    <w:p w:rsidR="00B87B98" w:rsidRDefault="00B87B98" w:rsidP="00B87B98">
      <w:pPr>
        <w:rPr>
          <w:rFonts w:ascii="Arial" w:hAnsi="Arial" w:cs="Arial"/>
          <w:b/>
          <w:sz w:val="24"/>
          <w:szCs w:val="24"/>
        </w:rPr>
      </w:pPr>
    </w:p>
    <w:p w:rsidR="001661DE" w:rsidRDefault="001661DE" w:rsidP="001661DE">
      <w:pPr>
        <w:pStyle w:val="ListParagraph"/>
        <w:numPr>
          <w:ilvl w:val="0"/>
          <w:numId w:val="4"/>
        </w:numPr>
        <w:spacing w:after="120"/>
        <w:ind w:left="426" w:hanging="426"/>
        <w:contextualSpacing w:val="0"/>
        <w:rPr>
          <w:rFonts w:ascii="Arial" w:hAnsi="Arial" w:cs="Arial"/>
          <w:b/>
        </w:rPr>
      </w:pPr>
      <w:r w:rsidRPr="001661DE">
        <w:rPr>
          <w:rFonts w:ascii="Arial" w:hAnsi="Arial" w:cs="Arial"/>
          <w:b/>
        </w:rPr>
        <w:t>Introduction</w:t>
      </w:r>
    </w:p>
    <w:p w:rsidR="001661DE" w:rsidRDefault="001661DE" w:rsidP="00585F97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  <w:r w:rsidRPr="001661DE">
        <w:rPr>
          <w:rFonts w:ascii="Arial" w:hAnsi="Arial" w:cs="Arial"/>
        </w:rPr>
        <w:t xml:space="preserve">Further to agreeing “Heads of Terms with </w:t>
      </w:r>
      <w:r w:rsidR="00E0283B">
        <w:rPr>
          <w:rFonts w:ascii="Arial" w:hAnsi="Arial" w:cs="Arial"/>
        </w:rPr>
        <w:t>Unison</w:t>
      </w:r>
      <w:r w:rsidRPr="001661DE">
        <w:rPr>
          <w:rFonts w:ascii="Arial" w:hAnsi="Arial" w:cs="Arial"/>
        </w:rPr>
        <w:t xml:space="preserve"> on September </w:t>
      </w:r>
      <w:r w:rsidR="00E0283B">
        <w:rPr>
          <w:rFonts w:ascii="Arial" w:hAnsi="Arial" w:cs="Arial"/>
        </w:rPr>
        <w:t>17</w:t>
      </w:r>
      <w:r w:rsidRPr="001661DE">
        <w:rPr>
          <w:rFonts w:ascii="Arial" w:hAnsi="Arial" w:cs="Arial"/>
          <w:vertAlign w:val="superscript"/>
        </w:rPr>
        <w:t>th</w:t>
      </w:r>
      <w:r w:rsidRPr="001661DE">
        <w:rPr>
          <w:rFonts w:ascii="Arial" w:hAnsi="Arial" w:cs="Arial"/>
        </w:rPr>
        <w:t xml:space="preserve"> 2015, the College</w:t>
      </w:r>
      <w:r>
        <w:rPr>
          <w:rFonts w:ascii="Arial" w:hAnsi="Arial" w:cs="Arial"/>
        </w:rPr>
        <w:t xml:space="preserve"> concluded negotiations with </w:t>
      </w:r>
      <w:r w:rsidR="00E0283B">
        <w:rPr>
          <w:rFonts w:ascii="Arial" w:hAnsi="Arial" w:cs="Arial"/>
        </w:rPr>
        <w:t xml:space="preserve">Unison </w:t>
      </w:r>
      <w:r>
        <w:rPr>
          <w:rFonts w:ascii="Arial" w:hAnsi="Arial" w:cs="Arial"/>
        </w:rPr>
        <w:t>on a new contract of em</w:t>
      </w:r>
      <w:r w:rsidR="0085087C">
        <w:rPr>
          <w:rFonts w:ascii="Arial" w:hAnsi="Arial" w:cs="Arial"/>
        </w:rPr>
        <w:t>ployment linked to a pay award in December 2015</w:t>
      </w:r>
      <w:r w:rsidR="00650D80">
        <w:rPr>
          <w:rFonts w:ascii="Arial" w:hAnsi="Arial" w:cs="Arial"/>
        </w:rPr>
        <w:t>.</w:t>
      </w:r>
      <w:r w:rsidR="0085087C">
        <w:rPr>
          <w:rFonts w:ascii="Arial" w:hAnsi="Arial" w:cs="Arial"/>
        </w:rPr>
        <w:t xml:space="preserve"> Unison members voted to accept the new contract in February 2016. The new contract will be implemented from 1</w:t>
      </w:r>
      <w:r w:rsidR="0085087C" w:rsidRPr="0085087C">
        <w:rPr>
          <w:rFonts w:ascii="Arial" w:hAnsi="Arial" w:cs="Arial"/>
          <w:vertAlign w:val="superscript"/>
        </w:rPr>
        <w:t>st</w:t>
      </w:r>
      <w:r w:rsidR="0085087C">
        <w:rPr>
          <w:rFonts w:ascii="Arial" w:hAnsi="Arial" w:cs="Arial"/>
        </w:rPr>
        <w:t xml:space="preserve"> August 2016 and this briefing provides more information for staff. </w:t>
      </w:r>
    </w:p>
    <w:p w:rsidR="001A6C81" w:rsidRDefault="001A6C81" w:rsidP="001661DE">
      <w:pPr>
        <w:pStyle w:val="ListParagraph"/>
        <w:spacing w:after="120"/>
        <w:ind w:left="426"/>
        <w:contextualSpacing w:val="0"/>
        <w:rPr>
          <w:rFonts w:ascii="Arial" w:hAnsi="Arial" w:cs="Arial"/>
        </w:rPr>
      </w:pPr>
    </w:p>
    <w:p w:rsidR="001661DE" w:rsidRDefault="001661DE" w:rsidP="001661DE">
      <w:pPr>
        <w:pStyle w:val="ListParagraph"/>
        <w:numPr>
          <w:ilvl w:val="0"/>
          <w:numId w:val="4"/>
        </w:numPr>
        <w:spacing w:after="120"/>
        <w:ind w:left="425" w:hanging="426"/>
        <w:contextualSpacing w:val="0"/>
        <w:rPr>
          <w:rFonts w:ascii="Arial" w:hAnsi="Arial" w:cs="Arial"/>
          <w:b/>
        </w:rPr>
      </w:pPr>
      <w:r w:rsidRPr="001661DE">
        <w:rPr>
          <w:rFonts w:ascii="Arial" w:hAnsi="Arial" w:cs="Arial"/>
          <w:b/>
        </w:rPr>
        <w:t>New Contract of Employment linked to a Pay Award</w:t>
      </w:r>
    </w:p>
    <w:p w:rsidR="001661DE" w:rsidRDefault="001661DE" w:rsidP="001661DE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main elements of the new contract are as follows:</w:t>
      </w:r>
    </w:p>
    <w:p w:rsidR="00B87B98" w:rsidRPr="00B87B98" w:rsidRDefault="00B87B98" w:rsidP="001661DE">
      <w:pPr>
        <w:pStyle w:val="ListParagraph"/>
        <w:numPr>
          <w:ilvl w:val="0"/>
          <w:numId w:val="5"/>
        </w:numPr>
        <w:spacing w:after="120"/>
        <w:contextualSpacing w:val="0"/>
        <w:rPr>
          <w:rFonts w:ascii="Arial" w:hAnsi="Arial" w:cs="Arial"/>
          <w:u w:val="single"/>
        </w:rPr>
      </w:pPr>
      <w:r w:rsidRPr="00B87B98">
        <w:rPr>
          <w:rFonts w:ascii="Arial" w:hAnsi="Arial" w:cs="Arial"/>
          <w:u w:val="single"/>
        </w:rPr>
        <w:t>Pay Award</w:t>
      </w:r>
    </w:p>
    <w:p w:rsidR="00B87B98" w:rsidRDefault="00E0283B" w:rsidP="0078747A">
      <w:pPr>
        <w:pStyle w:val="ListParagraph"/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All staff on scales 3 – S02 will receive a 2% pay award with effect from 1</w:t>
      </w:r>
      <w:r w:rsidRPr="00E0283B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August, 2016. Staff in post on 1</w:t>
      </w:r>
      <w:r w:rsidRPr="00E0283B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August and not working </w:t>
      </w:r>
      <w:r w:rsidR="0078747A">
        <w:rPr>
          <w:rFonts w:ascii="Arial" w:hAnsi="Arial" w:cs="Arial"/>
        </w:rPr>
        <w:t xml:space="preserve">their notice will also receive a 0.5% base salary “one-off” unconsolidated payment. The salaries and contracts of staff on grades P01-P09 will be reviewed separately before </w:t>
      </w:r>
      <w:r w:rsidR="00585F97">
        <w:rPr>
          <w:rFonts w:ascii="Arial" w:hAnsi="Arial" w:cs="Arial"/>
        </w:rPr>
        <w:t>summer</w:t>
      </w:r>
      <w:r w:rsidR="0078747A">
        <w:rPr>
          <w:rFonts w:ascii="Arial" w:hAnsi="Arial" w:cs="Arial"/>
        </w:rPr>
        <w:t xml:space="preserve"> 2016. </w:t>
      </w:r>
      <w:r w:rsidR="00585F97">
        <w:rPr>
          <w:rFonts w:ascii="Arial" w:hAnsi="Arial" w:cs="Arial"/>
        </w:rPr>
        <w:t xml:space="preserve">Revised salary scales are attached at appendix 1. </w:t>
      </w:r>
    </w:p>
    <w:p w:rsidR="001661DE" w:rsidRDefault="001661DE" w:rsidP="001661DE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 w:rsidRPr="001661DE">
        <w:rPr>
          <w:rFonts w:ascii="Arial" w:hAnsi="Arial" w:cs="Arial"/>
          <w:u w:val="single"/>
        </w:rPr>
        <w:t>Workplace</w:t>
      </w:r>
    </w:p>
    <w:p w:rsidR="001661DE" w:rsidRPr="001661DE" w:rsidRDefault="0078747A" w:rsidP="001661DE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new contract suggests a </w:t>
      </w:r>
      <w:r w:rsidR="001661DE">
        <w:rPr>
          <w:rFonts w:ascii="Arial" w:hAnsi="Arial" w:cs="Arial"/>
        </w:rPr>
        <w:t xml:space="preserve">slight variation </w:t>
      </w:r>
      <w:r>
        <w:rPr>
          <w:rFonts w:ascii="Arial" w:hAnsi="Arial" w:cs="Arial"/>
        </w:rPr>
        <w:t>recognising that in future, staff might</w:t>
      </w:r>
      <w:r w:rsidR="001661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</w:t>
      </w:r>
      <w:r w:rsidR="001661DE">
        <w:rPr>
          <w:rFonts w:ascii="Arial" w:hAnsi="Arial" w:cs="Arial"/>
        </w:rPr>
        <w:t xml:space="preserve"> off site in a “partner’s” premises.</w:t>
      </w:r>
    </w:p>
    <w:p w:rsidR="00B87B98" w:rsidRDefault="0078747A" w:rsidP="00B87B98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Annual Leave</w:t>
      </w:r>
    </w:p>
    <w:p w:rsidR="0078747A" w:rsidRDefault="0078747A" w:rsidP="0078747A">
      <w:pPr>
        <w:pStyle w:val="ListParagraph"/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College is proposing to enhance annual leave for College staff on scales 3 – S02 with 25 days basic entitlement, rising to 28 days after 5 years, with 8 public holidays and 3 Christmas closure days in addition.</w:t>
      </w:r>
      <w:r w:rsidR="00585F97">
        <w:rPr>
          <w:rFonts w:ascii="Arial" w:hAnsi="Arial" w:cs="Arial"/>
        </w:rPr>
        <w:t xml:space="preserve"> The leave year will run from 1</w:t>
      </w:r>
      <w:r w:rsidR="00585F97" w:rsidRPr="00585F97">
        <w:rPr>
          <w:rFonts w:ascii="Arial" w:hAnsi="Arial" w:cs="Arial"/>
          <w:vertAlign w:val="superscript"/>
        </w:rPr>
        <w:t>st</w:t>
      </w:r>
      <w:r w:rsidR="00585F97">
        <w:rPr>
          <w:rFonts w:ascii="Arial" w:hAnsi="Arial" w:cs="Arial"/>
        </w:rPr>
        <w:t xml:space="preserve"> September to 31</w:t>
      </w:r>
      <w:r w:rsidR="00585F97" w:rsidRPr="00585F97">
        <w:rPr>
          <w:rFonts w:ascii="Arial" w:hAnsi="Arial" w:cs="Arial"/>
          <w:vertAlign w:val="superscript"/>
        </w:rPr>
        <w:t>st</w:t>
      </w:r>
      <w:r w:rsidR="00585F97">
        <w:rPr>
          <w:rFonts w:ascii="Arial" w:hAnsi="Arial" w:cs="Arial"/>
        </w:rPr>
        <w:t xml:space="preserve"> August but for 2016/17 by way of transition the leave year will run from 1</w:t>
      </w:r>
      <w:r w:rsidR="00585F97" w:rsidRPr="00585F97">
        <w:rPr>
          <w:rFonts w:ascii="Arial" w:hAnsi="Arial" w:cs="Arial"/>
          <w:vertAlign w:val="superscript"/>
        </w:rPr>
        <w:t>st</w:t>
      </w:r>
      <w:r w:rsidR="00585F97">
        <w:rPr>
          <w:rFonts w:ascii="Arial" w:hAnsi="Arial" w:cs="Arial"/>
        </w:rPr>
        <w:t xml:space="preserve"> April 2016 to 31</w:t>
      </w:r>
      <w:r w:rsidR="00585F97" w:rsidRPr="00585F97">
        <w:rPr>
          <w:rFonts w:ascii="Arial" w:hAnsi="Arial" w:cs="Arial"/>
          <w:vertAlign w:val="superscript"/>
        </w:rPr>
        <w:t>st</w:t>
      </w:r>
      <w:r w:rsidR="00585F97">
        <w:rPr>
          <w:rFonts w:ascii="Arial" w:hAnsi="Arial" w:cs="Arial"/>
        </w:rPr>
        <w:t xml:space="preserve"> August 2017. Guidance has been circulated to managers by HR. </w:t>
      </w:r>
    </w:p>
    <w:p w:rsidR="0078747A" w:rsidRDefault="0078747A" w:rsidP="0078747A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u w:val="single"/>
        </w:rPr>
      </w:pPr>
      <w:r w:rsidRPr="00B87B98">
        <w:rPr>
          <w:rFonts w:ascii="Arial" w:hAnsi="Arial" w:cs="Arial"/>
          <w:u w:val="single"/>
        </w:rPr>
        <w:t>Working Hours</w:t>
      </w:r>
    </w:p>
    <w:p w:rsidR="0078747A" w:rsidRDefault="0078747A" w:rsidP="0078747A">
      <w:pPr>
        <w:pStyle w:val="ListParagraph"/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revised arrangements are a working week of 37 hours </w:t>
      </w:r>
      <w:r w:rsidR="002B1E8A">
        <w:rPr>
          <w:rFonts w:ascii="Arial" w:hAnsi="Arial" w:cs="Arial"/>
        </w:rPr>
        <w:t>(an</w:t>
      </w:r>
      <w:r>
        <w:rPr>
          <w:rFonts w:ascii="Arial" w:hAnsi="Arial" w:cs="Arial"/>
        </w:rPr>
        <w:t xml:space="preserve"> addition of one hour) to be agreed with the line manager. There might be an occasional requirement to work weekends with time off being given in lieu.</w:t>
      </w:r>
      <w:r w:rsidR="00585F97">
        <w:rPr>
          <w:rFonts w:ascii="Arial" w:hAnsi="Arial" w:cs="Arial"/>
        </w:rPr>
        <w:t xml:space="preserve"> Guidance for line managers will be circulated shortly.</w:t>
      </w:r>
    </w:p>
    <w:p w:rsidR="0078747A" w:rsidRDefault="0078747A" w:rsidP="0078747A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 w:rsidRPr="0078747A">
        <w:rPr>
          <w:rFonts w:ascii="Arial" w:hAnsi="Arial" w:cs="Arial"/>
          <w:u w:val="single"/>
        </w:rPr>
        <w:t xml:space="preserve">Collective Agreements </w:t>
      </w:r>
    </w:p>
    <w:p w:rsidR="0078747A" w:rsidRDefault="0078747A" w:rsidP="0078747A">
      <w:pPr>
        <w:spacing w:after="120"/>
        <w:ind w:left="714"/>
        <w:rPr>
          <w:rFonts w:ascii="Arial" w:hAnsi="Arial" w:cs="Arial"/>
        </w:rPr>
      </w:pPr>
      <w:r w:rsidRPr="0078747A">
        <w:rPr>
          <w:rFonts w:ascii="Arial" w:hAnsi="Arial" w:cs="Arial"/>
        </w:rPr>
        <w:t xml:space="preserve">There are no collective agreements, e.g. sickness, capability, etc. which will be incorporated into the new contracts. </w:t>
      </w:r>
    </w:p>
    <w:p w:rsidR="002B1E8A" w:rsidRDefault="002B1E8A" w:rsidP="002B1E8A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 w:rsidRPr="002B1E8A">
        <w:rPr>
          <w:rFonts w:ascii="Arial" w:hAnsi="Arial" w:cs="Arial"/>
          <w:u w:val="single"/>
        </w:rPr>
        <w:t>Term Time Only</w:t>
      </w:r>
    </w:p>
    <w:p w:rsidR="002B1E8A" w:rsidRDefault="002B1E8A" w:rsidP="002B1E8A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r w:rsidRPr="002B1E8A">
        <w:rPr>
          <w:rFonts w:ascii="Arial" w:hAnsi="Arial" w:cs="Arial"/>
        </w:rPr>
        <w:t>The application of the new contract for Term Time Only staff will be on a pro-rata basis.</w:t>
      </w:r>
    </w:p>
    <w:p w:rsidR="00650D80" w:rsidRDefault="00650D80" w:rsidP="002B1E8A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2B1E8A" w:rsidRDefault="002B1E8A" w:rsidP="00585F97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 w:rsidRPr="002B1E8A">
        <w:rPr>
          <w:rFonts w:ascii="Arial" w:hAnsi="Arial" w:cs="Arial"/>
          <w:u w:val="single"/>
        </w:rPr>
        <w:lastRenderedPageBreak/>
        <w:t>Updating Clauses</w:t>
      </w:r>
    </w:p>
    <w:p w:rsidR="0078747A" w:rsidRDefault="002B1E8A" w:rsidP="0078747A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new contract will re</w:t>
      </w:r>
      <w:r w:rsidR="00650D80">
        <w:rPr>
          <w:rFonts w:ascii="Arial" w:hAnsi="Arial" w:cs="Arial"/>
        </w:rPr>
        <w:t>flect changes in employment law</w:t>
      </w:r>
      <w:r>
        <w:rPr>
          <w:rFonts w:ascii="Arial" w:hAnsi="Arial" w:cs="Arial"/>
        </w:rPr>
        <w:t xml:space="preserve"> and good practice. </w:t>
      </w:r>
    </w:p>
    <w:p w:rsidR="00585F97" w:rsidRDefault="00585F97" w:rsidP="00585F97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Staff W</w:t>
      </w:r>
      <w:r w:rsidR="000B4287">
        <w:rPr>
          <w:rFonts w:ascii="Arial" w:hAnsi="Arial" w:cs="Arial"/>
          <w:u w:val="single"/>
        </w:rPr>
        <w:t xml:space="preserve">ho Resign or </w:t>
      </w:r>
      <w:r w:rsidRPr="00585F97">
        <w:rPr>
          <w:rFonts w:ascii="Arial" w:hAnsi="Arial" w:cs="Arial"/>
          <w:u w:val="single"/>
        </w:rPr>
        <w:t>Redundant Before 01.08.16</w:t>
      </w:r>
    </w:p>
    <w:p w:rsidR="00585F97" w:rsidRPr="00585F97" w:rsidRDefault="00585F97" w:rsidP="00585F97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  <w:r w:rsidRPr="00585F97">
        <w:rPr>
          <w:rFonts w:ascii="Arial" w:hAnsi="Arial" w:cs="Arial"/>
        </w:rPr>
        <w:t>Staff who resign or are made redundant before 01.08.16 will not be in receipt of the pay award or non-consolidated bonus</w:t>
      </w:r>
      <w:r>
        <w:rPr>
          <w:rFonts w:ascii="Arial" w:hAnsi="Arial" w:cs="Arial"/>
        </w:rPr>
        <w:t xml:space="preserve">. </w:t>
      </w:r>
    </w:p>
    <w:p w:rsidR="00585F97" w:rsidRDefault="00585F97" w:rsidP="00585F97">
      <w:pPr>
        <w:pStyle w:val="ListParagraph"/>
        <w:spacing w:after="120"/>
        <w:rPr>
          <w:rFonts w:ascii="Arial" w:hAnsi="Arial" w:cs="Arial"/>
          <w:u w:val="single"/>
        </w:rPr>
      </w:pPr>
    </w:p>
    <w:p w:rsidR="00585F97" w:rsidRPr="00585F97" w:rsidRDefault="00585F97" w:rsidP="00585F97">
      <w:pPr>
        <w:pStyle w:val="ListParagraph"/>
        <w:spacing w:after="120"/>
        <w:rPr>
          <w:rFonts w:ascii="Arial" w:hAnsi="Arial" w:cs="Arial"/>
          <w:u w:val="single"/>
        </w:rPr>
      </w:pPr>
    </w:p>
    <w:p w:rsidR="00AC3F14" w:rsidRPr="001A6C81" w:rsidRDefault="001A6C81" w:rsidP="001A6C81">
      <w:pPr>
        <w:pStyle w:val="ListParagraph"/>
        <w:numPr>
          <w:ilvl w:val="0"/>
          <w:numId w:val="4"/>
        </w:numPr>
        <w:tabs>
          <w:tab w:val="left" w:pos="426"/>
        </w:tabs>
        <w:spacing w:after="120"/>
        <w:ind w:left="425" w:hanging="425"/>
        <w:contextualSpacing w:val="0"/>
        <w:rPr>
          <w:rFonts w:ascii="Arial" w:hAnsi="Arial" w:cs="Arial"/>
          <w:b/>
        </w:rPr>
      </w:pPr>
      <w:r w:rsidRPr="001A6C81">
        <w:rPr>
          <w:rFonts w:ascii="Arial" w:hAnsi="Arial" w:cs="Arial"/>
          <w:b/>
        </w:rPr>
        <w:t>Next Steps</w:t>
      </w:r>
    </w:p>
    <w:p w:rsidR="001A6C81" w:rsidRDefault="00585F97" w:rsidP="001A6C81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Briefing sessions for staff on the new contracts</w:t>
      </w:r>
      <w:r w:rsidR="001A6C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will be held as follows:</w:t>
      </w:r>
    </w:p>
    <w:p w:rsidR="00585F97" w:rsidRDefault="00585F97" w:rsidP="001A6C81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2573"/>
        <w:gridCol w:w="1134"/>
        <w:gridCol w:w="3180"/>
      </w:tblGrid>
      <w:tr w:rsidR="00585F97" w:rsidTr="001B09C7">
        <w:tc>
          <w:tcPr>
            <w:tcW w:w="1821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A</w:t>
            </w:r>
            <w:r w:rsidR="001B09C7" w:rsidRPr="001B09C7">
              <w:rPr>
                <w:rFonts w:ascii="Arial" w:hAnsi="Arial" w:cs="Arial"/>
              </w:rPr>
              <w:t>cton</w:t>
            </w:r>
          </w:p>
        </w:tc>
        <w:tc>
          <w:tcPr>
            <w:tcW w:w="2573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Wednesday 20</w:t>
            </w:r>
            <w:r w:rsidRPr="001B09C7">
              <w:rPr>
                <w:rFonts w:ascii="Arial" w:hAnsi="Arial" w:cs="Arial"/>
                <w:vertAlign w:val="superscript"/>
              </w:rPr>
              <w:t>th</w:t>
            </w:r>
            <w:r w:rsidRPr="001B09C7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134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3</w:t>
            </w:r>
            <w:r w:rsidR="00101FDE">
              <w:rPr>
                <w:rFonts w:ascii="Arial" w:hAnsi="Arial" w:cs="Arial"/>
              </w:rPr>
              <w:t>.15</w:t>
            </w:r>
            <w:r w:rsidRPr="001B09C7">
              <w:rPr>
                <w:rFonts w:ascii="Arial" w:hAnsi="Arial" w:cs="Arial"/>
              </w:rPr>
              <w:t>pm</w:t>
            </w:r>
          </w:p>
        </w:tc>
        <w:tc>
          <w:tcPr>
            <w:tcW w:w="3180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ACT340/ACT341</w:t>
            </w:r>
          </w:p>
        </w:tc>
      </w:tr>
      <w:tr w:rsidR="00585F97" w:rsidTr="001B09C7">
        <w:tc>
          <w:tcPr>
            <w:tcW w:w="1821" w:type="dxa"/>
          </w:tcPr>
          <w:p w:rsidR="00585F97" w:rsidRPr="001B09C7" w:rsidRDefault="001B09C7" w:rsidP="00297381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Hammersmith</w:t>
            </w:r>
          </w:p>
        </w:tc>
        <w:tc>
          <w:tcPr>
            <w:tcW w:w="2573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Wednesday 20</w:t>
            </w:r>
            <w:r w:rsidRPr="001B09C7">
              <w:rPr>
                <w:rFonts w:ascii="Arial" w:hAnsi="Arial" w:cs="Arial"/>
                <w:vertAlign w:val="superscript"/>
              </w:rPr>
              <w:t>th</w:t>
            </w:r>
            <w:r w:rsidRPr="001B09C7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134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4.45pm</w:t>
            </w:r>
          </w:p>
        </w:tc>
        <w:tc>
          <w:tcPr>
            <w:tcW w:w="3180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C537/C538</w:t>
            </w:r>
          </w:p>
        </w:tc>
      </w:tr>
      <w:tr w:rsidR="00585F97" w:rsidTr="001B09C7">
        <w:tc>
          <w:tcPr>
            <w:tcW w:w="1821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S</w:t>
            </w:r>
            <w:r w:rsidR="001B09C7">
              <w:rPr>
                <w:rFonts w:ascii="Arial" w:hAnsi="Arial" w:cs="Arial"/>
              </w:rPr>
              <w:t>outhall</w:t>
            </w:r>
          </w:p>
        </w:tc>
        <w:tc>
          <w:tcPr>
            <w:tcW w:w="2573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Wednesday 27</w:t>
            </w:r>
            <w:r w:rsidRPr="001B09C7">
              <w:rPr>
                <w:rFonts w:ascii="Arial" w:hAnsi="Arial" w:cs="Arial"/>
                <w:vertAlign w:val="superscript"/>
              </w:rPr>
              <w:t>th</w:t>
            </w:r>
            <w:r w:rsidRPr="001B09C7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134" w:type="dxa"/>
          </w:tcPr>
          <w:p w:rsidR="00585F97" w:rsidRPr="001B09C7" w:rsidRDefault="00B7014A" w:rsidP="001B09C7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</w:t>
            </w:r>
            <w:bookmarkStart w:id="0" w:name="_GoBack"/>
            <w:bookmarkEnd w:id="0"/>
            <w:r w:rsidR="00585F97" w:rsidRPr="001B09C7">
              <w:rPr>
                <w:rFonts w:ascii="Arial" w:hAnsi="Arial" w:cs="Arial"/>
              </w:rPr>
              <w:t>pm</w:t>
            </w:r>
          </w:p>
        </w:tc>
        <w:tc>
          <w:tcPr>
            <w:tcW w:w="3180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SOUC203/SOUC204</w:t>
            </w:r>
          </w:p>
        </w:tc>
      </w:tr>
      <w:tr w:rsidR="00585F97" w:rsidTr="001B09C7">
        <w:tc>
          <w:tcPr>
            <w:tcW w:w="1821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E</w:t>
            </w:r>
            <w:r w:rsidR="001B09C7">
              <w:rPr>
                <w:rFonts w:ascii="Arial" w:hAnsi="Arial" w:cs="Arial"/>
              </w:rPr>
              <w:t>aling</w:t>
            </w:r>
          </w:p>
        </w:tc>
        <w:tc>
          <w:tcPr>
            <w:tcW w:w="2573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Wednesday 27</w:t>
            </w:r>
            <w:r w:rsidRPr="001B09C7">
              <w:rPr>
                <w:rFonts w:ascii="Arial" w:hAnsi="Arial" w:cs="Arial"/>
                <w:vertAlign w:val="superscript"/>
              </w:rPr>
              <w:t>th</w:t>
            </w:r>
            <w:r w:rsidRPr="001B09C7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134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4.45pm</w:t>
            </w:r>
          </w:p>
        </w:tc>
        <w:tc>
          <w:tcPr>
            <w:tcW w:w="3180" w:type="dxa"/>
          </w:tcPr>
          <w:p w:rsidR="00585F97" w:rsidRPr="001B09C7" w:rsidRDefault="00585F97" w:rsidP="001B09C7">
            <w:pPr>
              <w:spacing w:before="240" w:after="240"/>
              <w:rPr>
                <w:rFonts w:ascii="Arial" w:hAnsi="Arial" w:cs="Arial"/>
              </w:rPr>
            </w:pPr>
            <w:r w:rsidRPr="001B09C7">
              <w:rPr>
                <w:rFonts w:ascii="Arial" w:hAnsi="Arial" w:cs="Arial"/>
              </w:rPr>
              <w:t>EALB314/EALB315</w:t>
            </w:r>
          </w:p>
        </w:tc>
      </w:tr>
    </w:tbl>
    <w:p w:rsidR="00585F97" w:rsidRDefault="00585F97" w:rsidP="001A6C81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</w:p>
    <w:p w:rsidR="00585F97" w:rsidRDefault="001B09C7" w:rsidP="001A6C81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New contracts of employment will be sent to all staff w/b 16</w:t>
      </w:r>
      <w:r w:rsidRPr="001B09C7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May along with a “helpline” number.</w:t>
      </w:r>
    </w:p>
    <w:p w:rsidR="001B09C7" w:rsidRDefault="001B09C7" w:rsidP="001A6C81">
      <w:pPr>
        <w:pStyle w:val="ListParagraph"/>
        <w:spacing w:after="120"/>
        <w:ind w:left="425"/>
        <w:contextualSpacing w:val="0"/>
        <w:rPr>
          <w:rFonts w:ascii="Arial" w:hAnsi="Arial" w:cs="Arial"/>
        </w:rPr>
      </w:pPr>
    </w:p>
    <w:p w:rsidR="001A6C81" w:rsidRDefault="001A6C81" w:rsidP="001A6C81">
      <w:pPr>
        <w:spacing w:after="120"/>
        <w:rPr>
          <w:rFonts w:ascii="Arial" w:hAnsi="Arial" w:cs="Arial"/>
          <w:b/>
        </w:rPr>
      </w:pPr>
    </w:p>
    <w:p w:rsidR="001A6C81" w:rsidRDefault="001A6C81" w:rsidP="001A6C81">
      <w:pPr>
        <w:spacing w:after="120"/>
        <w:jc w:val="center"/>
      </w:pPr>
      <w:r w:rsidRPr="001A6C81">
        <w:rPr>
          <w:rFonts w:ascii="Arial" w:hAnsi="Arial" w:cs="Arial"/>
          <w:b/>
        </w:rPr>
        <w:t xml:space="preserve">If you have any questions, please contact John Humphreys, HR Director at </w:t>
      </w:r>
    </w:p>
    <w:p w:rsidR="00205819" w:rsidRPr="00205819" w:rsidRDefault="00B7014A" w:rsidP="001A6C81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hyperlink r:id="rId9" w:history="1">
        <w:r w:rsidR="00205819" w:rsidRPr="00205819">
          <w:rPr>
            <w:rStyle w:val="Hyperlink"/>
            <w:rFonts w:ascii="Arial" w:hAnsi="Arial" w:cs="Arial"/>
            <w:sz w:val="28"/>
            <w:szCs w:val="28"/>
          </w:rPr>
          <w:t>j.humphreys@wlc.ac.uk</w:t>
        </w:r>
      </w:hyperlink>
      <w:r w:rsidR="00205819" w:rsidRPr="00205819">
        <w:rPr>
          <w:rFonts w:ascii="Arial" w:hAnsi="Arial" w:cs="Arial"/>
          <w:sz w:val="28"/>
          <w:szCs w:val="28"/>
        </w:rPr>
        <w:t xml:space="preserve"> </w:t>
      </w:r>
    </w:p>
    <w:p w:rsidR="001A6C81" w:rsidRPr="001A6C81" w:rsidRDefault="001A6C81" w:rsidP="001A6C81">
      <w:pPr>
        <w:pStyle w:val="ListParagraph"/>
        <w:spacing w:after="120"/>
        <w:ind w:left="426"/>
        <w:rPr>
          <w:rFonts w:ascii="Arial" w:hAnsi="Arial" w:cs="Arial"/>
          <w:b/>
        </w:rPr>
      </w:pPr>
    </w:p>
    <w:p w:rsidR="00AC3F14" w:rsidRDefault="00AC3F14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AC3F14" w:rsidRDefault="00AC3F14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9539CE" w:rsidRDefault="009539CE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9539CE" w:rsidRDefault="009539CE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9539CE" w:rsidRDefault="009539CE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9539CE" w:rsidRDefault="009539CE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9539CE" w:rsidRDefault="009539CE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9539CE" w:rsidRDefault="009539CE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9539CE" w:rsidRDefault="009539CE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9539CE" w:rsidRDefault="009539CE" w:rsidP="00AC3F14">
      <w:pPr>
        <w:pStyle w:val="ListParagraph"/>
        <w:spacing w:after="120"/>
        <w:ind w:left="714"/>
        <w:contextualSpacing w:val="0"/>
        <w:rPr>
          <w:rFonts w:ascii="Arial" w:hAnsi="Arial" w:cs="Arial"/>
        </w:rPr>
      </w:pPr>
    </w:p>
    <w:p w:rsidR="009539CE" w:rsidRPr="009539CE" w:rsidRDefault="009539CE" w:rsidP="009539CE">
      <w:pPr>
        <w:spacing w:after="12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539CE">
        <w:rPr>
          <w:rFonts w:ascii="Arial" w:hAnsi="Arial" w:cs="Arial"/>
          <w:b/>
          <w:sz w:val="24"/>
          <w:szCs w:val="24"/>
          <w:u w:val="single"/>
        </w:rPr>
        <w:lastRenderedPageBreak/>
        <w:t>Appendix 1</w:t>
      </w:r>
    </w:p>
    <w:p w:rsidR="009539CE" w:rsidRDefault="009539CE" w:rsidP="009539CE">
      <w:pPr>
        <w:spacing w:after="120"/>
        <w:jc w:val="center"/>
        <w:rPr>
          <w:rFonts w:ascii="Arial" w:hAnsi="Arial" w:cs="Arial"/>
          <w:b/>
          <w:u w:val="single"/>
        </w:rPr>
      </w:pPr>
    </w:p>
    <w:tbl>
      <w:tblPr>
        <w:tblW w:w="7726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226"/>
        <w:gridCol w:w="960"/>
        <w:gridCol w:w="1330"/>
        <w:gridCol w:w="1330"/>
        <w:gridCol w:w="960"/>
      </w:tblGrid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12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Grade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SCP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01.02.2012 New Basic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LW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Current  Gross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Proposed Gross with 2% Uplift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£13,496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£16,856.00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£17,193.12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£13,883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£17,243.00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£17,587.86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£14,276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£17,636.00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£17,988.72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£14,693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£18,053.00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£18,414.06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£15,116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£18,476.00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£18,845.52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£15,551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£18,911.00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£19,289.22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£15,998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£19,358.00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£19,745.16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£16,457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£19,817.00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£20,213.34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£16,940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£20,300.00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£20,706.00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£17,444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£20,804.00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£21,220.08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£17,888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£21,248.00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£21,672.96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£18,419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£21,779.00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£22,214.58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£18,968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£22,328.00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£22,774.56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£19,541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£22,901.00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£23,359.02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£20,123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£23,483.00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£23,952.66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£20,723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£24,083.00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£24,564.66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£21,341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£24,701.00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£25,195.02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£21,977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£25,337.00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£25,843.74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£22,637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£25,997.00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£26,516.94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£23,318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£26,678.00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£27,211.56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£24,011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£27,371.00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£27,918.42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proofErr w:type="spellStart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Sc</w:t>
            </w:r>
            <w:proofErr w:type="spellEnd"/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 xml:space="preserve">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£24,725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£28,085.00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£28,646.70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£25,466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£28,826.00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£29,402.52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£26,228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£29,588.00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£30,179.76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£27,011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£30,371.00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£30,978.42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£27,821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£31,181.00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£31,804.62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£28,658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£32,018.00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£32,658.36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4C75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b/>
                <w:bCs/>
                <w:lang w:eastAsia="en-GB"/>
              </w:rPr>
              <w:t>SO2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31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£29,510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£3,360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£32,870.00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539CE">
              <w:rPr>
                <w:rFonts w:ascii="Calibri" w:eastAsia="Times New Roman" w:hAnsi="Calibri" w:cs="Times New Roman"/>
                <w:color w:val="000000"/>
                <w:lang w:eastAsia="en-GB"/>
              </w:rPr>
              <w:t>£33,527.40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539CE" w:rsidRPr="009539CE" w:rsidTr="0078493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39CE" w:rsidRPr="009539CE" w:rsidRDefault="009539CE" w:rsidP="009539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9CE" w:rsidRPr="009539CE" w:rsidRDefault="009539CE" w:rsidP="0095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530736" w:rsidRPr="00530736" w:rsidRDefault="00530736" w:rsidP="00530736">
      <w:pPr>
        <w:spacing w:after="120"/>
        <w:rPr>
          <w:rFonts w:ascii="Arial" w:hAnsi="Arial" w:cs="Arial"/>
        </w:rPr>
      </w:pPr>
    </w:p>
    <w:p w:rsidR="00AC3F14" w:rsidRPr="00AC3F14" w:rsidRDefault="00AC3F14" w:rsidP="00530736">
      <w:pPr>
        <w:pStyle w:val="ListParagraph"/>
        <w:spacing w:after="120"/>
        <w:contextualSpacing w:val="0"/>
        <w:rPr>
          <w:rFonts w:ascii="Arial" w:hAnsi="Arial" w:cs="Arial"/>
          <w:u w:val="single"/>
        </w:rPr>
      </w:pPr>
    </w:p>
    <w:p w:rsidR="00AC3F14" w:rsidRPr="00AC3F14" w:rsidRDefault="00AC3F14" w:rsidP="00530736">
      <w:pPr>
        <w:spacing w:after="120"/>
        <w:rPr>
          <w:rFonts w:ascii="Arial" w:hAnsi="Arial" w:cs="Arial"/>
        </w:rPr>
      </w:pPr>
    </w:p>
    <w:p w:rsidR="00AC3F14" w:rsidRPr="00AC3F14" w:rsidRDefault="00AC3F14" w:rsidP="00530736">
      <w:pPr>
        <w:pStyle w:val="ListParagraph"/>
        <w:spacing w:after="120"/>
        <w:contextualSpacing w:val="0"/>
        <w:rPr>
          <w:rFonts w:ascii="Arial" w:hAnsi="Arial" w:cs="Arial"/>
          <w:u w:val="single"/>
        </w:rPr>
      </w:pPr>
    </w:p>
    <w:p w:rsidR="00B87B98" w:rsidRPr="00B87B98" w:rsidRDefault="00B87B98" w:rsidP="00530736">
      <w:pPr>
        <w:pStyle w:val="ListParagraph"/>
        <w:spacing w:after="120"/>
        <w:contextualSpacing w:val="0"/>
        <w:rPr>
          <w:rFonts w:ascii="Arial" w:hAnsi="Arial" w:cs="Arial"/>
          <w:u w:val="single"/>
        </w:rPr>
      </w:pPr>
    </w:p>
    <w:p w:rsidR="00B87B98" w:rsidRPr="00B87B98" w:rsidRDefault="00B87B98" w:rsidP="00B87B98">
      <w:pPr>
        <w:rPr>
          <w:rFonts w:ascii="Arial" w:hAnsi="Arial" w:cs="Arial"/>
        </w:rPr>
      </w:pPr>
    </w:p>
    <w:sectPr w:rsidR="00B87B98" w:rsidRPr="00B87B98" w:rsidSect="002B1E8A">
      <w:footerReference w:type="default" r:id="rId10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9AC" w:rsidRDefault="00CC19AC" w:rsidP="00CC19AC">
      <w:pPr>
        <w:spacing w:after="0" w:line="240" w:lineRule="auto"/>
      </w:pPr>
      <w:r>
        <w:separator/>
      </w:r>
    </w:p>
  </w:endnote>
  <w:endnote w:type="continuationSeparator" w:id="0">
    <w:p w:rsidR="00CC19AC" w:rsidRDefault="00CC19AC" w:rsidP="00CC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991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19AC" w:rsidRDefault="00CC19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1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19AC" w:rsidRDefault="00CC19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9AC" w:rsidRDefault="00CC19AC" w:rsidP="00CC19AC">
      <w:pPr>
        <w:spacing w:after="0" w:line="240" w:lineRule="auto"/>
      </w:pPr>
      <w:r>
        <w:separator/>
      </w:r>
    </w:p>
  </w:footnote>
  <w:footnote w:type="continuationSeparator" w:id="0">
    <w:p w:rsidR="00CC19AC" w:rsidRDefault="00CC19AC" w:rsidP="00CC1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B24"/>
    <w:multiLevelType w:val="hybridMultilevel"/>
    <w:tmpl w:val="B226D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C444C"/>
    <w:multiLevelType w:val="hybridMultilevel"/>
    <w:tmpl w:val="3CB8D294"/>
    <w:lvl w:ilvl="0" w:tplc="15526CD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>
    <w:nsid w:val="33160EB8"/>
    <w:multiLevelType w:val="hybridMultilevel"/>
    <w:tmpl w:val="5B869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B373B"/>
    <w:multiLevelType w:val="hybridMultilevel"/>
    <w:tmpl w:val="08F62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97D83"/>
    <w:multiLevelType w:val="hybridMultilevel"/>
    <w:tmpl w:val="A0706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98"/>
    <w:rsid w:val="000141B5"/>
    <w:rsid w:val="000B4287"/>
    <w:rsid w:val="00101FDE"/>
    <w:rsid w:val="001661DE"/>
    <w:rsid w:val="001A6C81"/>
    <w:rsid w:val="001B09C7"/>
    <w:rsid w:val="00205819"/>
    <w:rsid w:val="002B1E8A"/>
    <w:rsid w:val="004C7556"/>
    <w:rsid w:val="00530736"/>
    <w:rsid w:val="00585F97"/>
    <w:rsid w:val="00596218"/>
    <w:rsid w:val="00650D80"/>
    <w:rsid w:val="0078493E"/>
    <w:rsid w:val="0078747A"/>
    <w:rsid w:val="0085087C"/>
    <w:rsid w:val="00883A65"/>
    <w:rsid w:val="00921AC6"/>
    <w:rsid w:val="009539CE"/>
    <w:rsid w:val="009E4D70"/>
    <w:rsid w:val="00AC3F14"/>
    <w:rsid w:val="00AC5D20"/>
    <w:rsid w:val="00B7014A"/>
    <w:rsid w:val="00B87B98"/>
    <w:rsid w:val="00CC19AC"/>
    <w:rsid w:val="00D53085"/>
    <w:rsid w:val="00DF3752"/>
    <w:rsid w:val="00E0283B"/>
    <w:rsid w:val="00E237E2"/>
    <w:rsid w:val="00E829DE"/>
    <w:rsid w:val="00F153C9"/>
    <w:rsid w:val="00F2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6C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AC"/>
  </w:style>
  <w:style w:type="paragraph" w:styleId="Footer">
    <w:name w:val="footer"/>
    <w:basedOn w:val="Normal"/>
    <w:link w:val="FooterChar"/>
    <w:uiPriority w:val="99"/>
    <w:unhideWhenUsed/>
    <w:rsid w:val="00CC1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6C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AC"/>
  </w:style>
  <w:style w:type="paragraph" w:styleId="Footer">
    <w:name w:val="footer"/>
    <w:basedOn w:val="Normal"/>
    <w:link w:val="FooterChar"/>
    <w:uiPriority w:val="99"/>
    <w:unhideWhenUsed/>
    <w:rsid w:val="00CC1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j.humphreys@wlc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E57C9-A32A-4C42-8C69-9C96F7A8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EHWLC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taylor</dc:creator>
  <cp:lastModifiedBy>amanda taylor</cp:lastModifiedBy>
  <cp:revision>18</cp:revision>
  <cp:lastPrinted>2016-04-12T12:14:00Z</cp:lastPrinted>
  <dcterms:created xsi:type="dcterms:W3CDTF">2015-12-22T11:59:00Z</dcterms:created>
  <dcterms:modified xsi:type="dcterms:W3CDTF">2016-04-21T14:25:00Z</dcterms:modified>
</cp:coreProperties>
</file>