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246" w:rsidRDefault="00E7475F">
      <w:r>
        <w:rPr>
          <w:noProof/>
        </w:rPr>
        <w:drawing>
          <wp:inline distT="0" distB="0" distL="0" distR="0">
            <wp:extent cx="5251456" cy="1048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6" cy="104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246" w:rsidRDefault="00E747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Service Level Agreement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91"/>
      </w:tblGrid>
      <w:tr w:rsidR="00817246">
        <w:tc>
          <w:tcPr>
            <w:tcW w:w="195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729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Executive Support and Administration </w:t>
            </w:r>
          </w:p>
        </w:tc>
      </w:tr>
      <w:tr w:rsidR="00817246">
        <w:tc>
          <w:tcPr>
            <w:tcW w:w="195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729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Executive Assistant / Admin Manager</w:t>
            </w:r>
          </w:p>
        </w:tc>
      </w:tr>
      <w:tr w:rsidR="00817246">
        <w:tc>
          <w:tcPr>
            <w:tcW w:w="195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Approver</w:t>
            </w:r>
          </w:p>
        </w:tc>
        <w:tc>
          <w:tcPr>
            <w:tcW w:w="729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Principal/Deputy Principal</w:t>
            </w:r>
          </w:p>
        </w:tc>
      </w:tr>
      <w:tr w:rsidR="00817246">
        <w:tc>
          <w:tcPr>
            <w:tcW w:w="195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729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Executive Assistant</w:t>
            </w:r>
          </w:p>
        </w:tc>
      </w:tr>
      <w:tr w:rsidR="00817246">
        <w:tc>
          <w:tcPr>
            <w:tcW w:w="195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Date</w:t>
            </w:r>
          </w:p>
        </w:tc>
        <w:tc>
          <w:tcPr>
            <w:tcW w:w="729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2018</w:t>
            </w:r>
          </w:p>
        </w:tc>
      </w:tr>
      <w:tr w:rsidR="00817246">
        <w:tc>
          <w:tcPr>
            <w:tcW w:w="195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Date</w:t>
            </w:r>
          </w:p>
        </w:tc>
        <w:tc>
          <w:tcPr>
            <w:tcW w:w="729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 2019</w:t>
            </w:r>
          </w:p>
        </w:tc>
      </w:tr>
    </w:tbl>
    <w:p w:rsidR="00817246" w:rsidRDefault="00817246">
      <w:pPr>
        <w:rPr>
          <w:sz w:val="24"/>
          <w:szCs w:val="24"/>
        </w:rPr>
      </w:pP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Document Purpose: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 xml:space="preserve">This document outlines how the </w:t>
      </w:r>
      <w:r>
        <w:rPr>
          <w:sz w:val="24"/>
          <w:szCs w:val="24"/>
        </w:rPr>
        <w:t>Executive Support and Administration Department will support the strategic policy and values of the West London Way</w:t>
      </w:r>
    </w:p>
    <w:p w:rsidR="00817246" w:rsidRDefault="00E747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Strategic Objectives</w:t>
      </w:r>
    </w:p>
    <w:p w:rsidR="00817246" w:rsidRDefault="00E74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Creating an Outstanding Learner Experience</w:t>
      </w:r>
    </w:p>
    <w:p w:rsidR="00817246" w:rsidRDefault="00E74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Effective Strategic Partnership</w:t>
      </w:r>
    </w:p>
    <w:p w:rsidR="00817246" w:rsidRDefault="00E74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Innova</w:t>
      </w:r>
      <w:r>
        <w:rPr>
          <w:sz w:val="24"/>
          <w:szCs w:val="24"/>
        </w:rPr>
        <w:t>tion &amp; Creativity for greater effectiveness in learning</w:t>
      </w:r>
    </w:p>
    <w:p w:rsidR="00817246" w:rsidRDefault="00E74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Sustaining financial stability</w:t>
      </w:r>
    </w:p>
    <w:p w:rsidR="00817246" w:rsidRDefault="00E74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Workforce development</w:t>
      </w:r>
    </w:p>
    <w:p w:rsidR="00817246" w:rsidRDefault="00E74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Future proofing and growing market share</w:t>
      </w:r>
    </w:p>
    <w:p w:rsidR="00817246" w:rsidRDefault="00E7475F">
      <w:pPr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Excellence:</w:t>
      </w:r>
      <w:r>
        <w:rPr>
          <w:color w:val="222222"/>
          <w:sz w:val="20"/>
          <w:szCs w:val="20"/>
        </w:rPr>
        <w:t> Relentless drive for excellence by delivering high quality administrative service to all</w:t>
      </w:r>
      <w:r>
        <w:rPr>
          <w:color w:val="222222"/>
          <w:sz w:val="20"/>
          <w:szCs w:val="20"/>
        </w:rPr>
        <w:t xml:space="preserve"> students and </w:t>
      </w:r>
      <w:r>
        <w:rPr>
          <w:color w:val="222222"/>
          <w:sz w:val="20"/>
          <w:szCs w:val="20"/>
        </w:rPr>
        <w:t>curriculum staff, and executive support executive directorate and governors.</w:t>
      </w:r>
    </w:p>
    <w:p w:rsidR="00817246" w:rsidRDefault="00E7475F">
      <w:pPr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Ambitious:</w:t>
      </w:r>
      <w:r>
        <w:rPr>
          <w:color w:val="222222"/>
          <w:sz w:val="20"/>
          <w:szCs w:val="20"/>
        </w:rPr>
        <w:t> Supporting innovation and creativity, and seeking opportunities to develop new processes, increase efficiencies to continue to respond to changing custom</w:t>
      </w:r>
      <w:r>
        <w:rPr>
          <w:color w:val="222222"/>
          <w:sz w:val="20"/>
          <w:szCs w:val="20"/>
        </w:rPr>
        <w:t>er demands in line with changes in curriculum offer and new emerging strategic developments.</w:t>
      </w:r>
    </w:p>
    <w:p w:rsidR="00817246" w:rsidRDefault="00E7475F">
      <w:pPr>
        <w:shd w:val="clear" w:color="auto" w:fill="FFFFFF"/>
        <w:spacing w:after="0"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Focus:</w:t>
      </w:r>
      <w:r>
        <w:rPr>
          <w:color w:val="222222"/>
          <w:sz w:val="20"/>
          <w:szCs w:val="20"/>
        </w:rPr>
        <w:t xml:space="preserve"> We are professional and purposeful, constantly reviewing our skills and knowledge, departmental procedures and objectives to deliver </w:t>
      </w:r>
      <w:r>
        <w:rPr>
          <w:color w:val="222222"/>
          <w:sz w:val="20"/>
          <w:szCs w:val="20"/>
        </w:rPr>
        <w:t>administrative and exe</w:t>
      </w:r>
      <w:r>
        <w:rPr>
          <w:color w:val="222222"/>
          <w:sz w:val="20"/>
          <w:szCs w:val="20"/>
        </w:rPr>
        <w:t xml:space="preserve">cutive support service meets service user expectations and our shared strategic goals. </w:t>
      </w:r>
    </w:p>
    <w:p w:rsidR="00817246" w:rsidRDefault="00817246">
      <w:pPr>
        <w:shd w:val="clear" w:color="auto" w:fill="FFFFFF"/>
        <w:spacing w:after="0" w:line="240" w:lineRule="auto"/>
        <w:rPr>
          <w:color w:val="222222"/>
          <w:sz w:val="20"/>
          <w:szCs w:val="20"/>
        </w:rPr>
      </w:pPr>
    </w:p>
    <w:p w:rsidR="00817246" w:rsidRDefault="00E7475F">
      <w:pPr>
        <w:shd w:val="clear" w:color="auto" w:fill="FFFFFF"/>
        <w:spacing w:after="0"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Accountability:</w:t>
      </w:r>
      <w:r>
        <w:rPr>
          <w:color w:val="222222"/>
          <w:sz w:val="20"/>
          <w:szCs w:val="20"/>
        </w:rPr>
        <w:t> </w:t>
      </w:r>
      <w:r>
        <w:rPr>
          <w:color w:val="222222"/>
          <w:sz w:val="20"/>
          <w:szCs w:val="20"/>
        </w:rPr>
        <w:t>Taking personal responsibility for finding solutions and contributing at every level towards achieving success, to ensure the service meets the needs of students, parents/guardians, curriculum staff, SLT and Governors.</w:t>
      </w:r>
    </w:p>
    <w:p w:rsidR="00817246" w:rsidRDefault="00817246">
      <w:pPr>
        <w:shd w:val="clear" w:color="auto" w:fill="FFFFFF"/>
        <w:spacing w:after="0" w:line="240" w:lineRule="auto"/>
        <w:rPr>
          <w:color w:val="222222"/>
          <w:sz w:val="20"/>
          <w:szCs w:val="20"/>
        </w:rPr>
      </w:pPr>
    </w:p>
    <w:p w:rsidR="00817246" w:rsidRDefault="00E7475F">
      <w:pPr>
        <w:shd w:val="clear" w:color="auto" w:fill="FFFFFF"/>
        <w:spacing w:after="0"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Inclusion:</w:t>
      </w:r>
      <w:r>
        <w:rPr>
          <w:color w:val="222222"/>
          <w:sz w:val="20"/>
          <w:szCs w:val="20"/>
        </w:rPr>
        <w:t> We are open, welcoming an</w:t>
      </w:r>
      <w:r>
        <w:rPr>
          <w:color w:val="222222"/>
          <w:sz w:val="20"/>
          <w:szCs w:val="20"/>
        </w:rPr>
        <w:t>d supportive providing consistent high level of support to all stakeholder groups. Our commitment to equality and diversity underpins everything we do.</w:t>
      </w:r>
    </w:p>
    <w:p w:rsidR="00817246" w:rsidRDefault="00817246">
      <w:pPr>
        <w:shd w:val="clear" w:color="auto" w:fill="FFFFFF"/>
        <w:spacing w:after="0" w:line="240" w:lineRule="auto"/>
        <w:rPr>
          <w:color w:val="222222"/>
          <w:sz w:val="20"/>
          <w:szCs w:val="20"/>
        </w:rPr>
      </w:pPr>
    </w:p>
    <w:p w:rsidR="00817246" w:rsidRDefault="00E7475F">
      <w:pPr>
        <w:shd w:val="clear" w:color="auto" w:fill="FFFFFF"/>
        <w:spacing w:after="0"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Integrity:</w:t>
      </w:r>
      <w:r>
        <w:rPr>
          <w:color w:val="222222"/>
          <w:sz w:val="20"/>
          <w:szCs w:val="20"/>
        </w:rPr>
        <w:t xml:space="preserve"> We work to uphold College </w:t>
      </w:r>
      <w:r>
        <w:rPr>
          <w:color w:val="222222"/>
          <w:sz w:val="20"/>
          <w:szCs w:val="20"/>
        </w:rPr>
        <w:t>values in everything we do. We are fair, open, honest and account</w:t>
      </w:r>
      <w:r>
        <w:rPr>
          <w:color w:val="222222"/>
          <w:sz w:val="20"/>
          <w:szCs w:val="20"/>
        </w:rPr>
        <w:t>able to our internal and external customers.</w:t>
      </w:r>
    </w:p>
    <w:p w:rsidR="00817246" w:rsidRDefault="00817246">
      <w:pPr>
        <w:rPr>
          <w:b/>
          <w:color w:val="000000"/>
          <w:sz w:val="24"/>
          <w:szCs w:val="24"/>
        </w:rPr>
      </w:pP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Associated documents/policies for this area:</w:t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141"/>
      </w:tblGrid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Strategic Plan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Learner Attendance &amp; Punctuality Policy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Learner Disciplinary Policy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Equality &amp; Diversity Policy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Complaints Policy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and External Communication Documents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Enrolment Processes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Financial Policy &amp; regulations 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&amp; Safety Policy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Safeguarding Policy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 &amp; Enrichment and Parental Engagement Policies</w:t>
            </w:r>
          </w:p>
        </w:tc>
      </w:tr>
      <w:tr w:rsidR="00817246">
        <w:tc>
          <w:tcPr>
            <w:tcW w:w="1101" w:type="dxa"/>
          </w:tcPr>
          <w:p w:rsidR="00817246" w:rsidRDefault="00817246">
            <w:pPr>
              <w:rPr>
                <w:sz w:val="24"/>
                <w:szCs w:val="24"/>
              </w:rPr>
            </w:pPr>
          </w:p>
        </w:tc>
        <w:tc>
          <w:tcPr>
            <w:tcW w:w="8141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Quality Improvement Strategy </w:t>
            </w:r>
          </w:p>
        </w:tc>
      </w:tr>
    </w:tbl>
    <w:p w:rsidR="00817246" w:rsidRDefault="00817246">
      <w:pPr>
        <w:rPr>
          <w:sz w:val="24"/>
          <w:szCs w:val="24"/>
        </w:rPr>
      </w:pP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This agreement sets out to outline:</w:t>
      </w:r>
    </w:p>
    <w:p w:rsidR="00817246" w:rsidRDefault="00E747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services we provide both to learners and staff </w:t>
      </w:r>
    </w:p>
    <w:p w:rsidR="00817246" w:rsidRDefault="00E747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overall standards we aim to achieve in the provision of our service</w:t>
      </w:r>
    </w:p>
    <w:p w:rsidR="00817246" w:rsidRDefault="00E747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Agreed benchmarking for service delivery &amp; college KPIs</w:t>
      </w:r>
    </w:p>
    <w:p w:rsidR="00817246" w:rsidRDefault="00E747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mechanism for resolving any problems relating to delivery of these services</w:t>
      </w: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Future reviews and amendments to this Service Level Agreement:</w:t>
      </w:r>
    </w:p>
    <w:p w:rsidR="00817246" w:rsidRDefault="00E7475F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The agreement will be reviewed annually as part of the annual self-assessment and quality improvement meetings and </w:t>
      </w:r>
      <w:r>
        <w:rPr>
          <w:sz w:val="24"/>
          <w:szCs w:val="24"/>
        </w:rPr>
        <w:t>reviewed with service users.</w:t>
      </w: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 of the service: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The department aims to provide consistent efficient administrative support to curriculum managers and Curriculum Directors and specialist executive support to Executive Directors, clerk to Governors a</w:t>
      </w:r>
      <w:r>
        <w:rPr>
          <w:sz w:val="24"/>
          <w:szCs w:val="24"/>
        </w:rPr>
        <w:t>nd Governors.</w:t>
      </w: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 of key services, levels and standards:</w:t>
      </w:r>
    </w:p>
    <w:p w:rsidR="00817246" w:rsidRDefault="00E7475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ensure stakeholders experience a polite, friendly, welcoming and supportive </w:t>
      </w:r>
      <w:r w:rsidR="003941A8">
        <w:rPr>
          <w:color w:val="222222"/>
          <w:sz w:val="24"/>
          <w:szCs w:val="24"/>
          <w:highlight w:val="white"/>
        </w:rPr>
        <w:t>demeanour</w:t>
      </w:r>
      <w:r>
        <w:rPr>
          <w:color w:val="222222"/>
          <w:sz w:val="24"/>
          <w:szCs w:val="24"/>
          <w:highlight w:val="white"/>
        </w:rPr>
        <w:t>.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To maintain clear and efficient communication with students, parents/guardians, and stakeholders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To su</w:t>
      </w:r>
      <w:r>
        <w:rPr>
          <w:sz w:val="24"/>
          <w:szCs w:val="24"/>
        </w:rPr>
        <w:t>pport and coordinate defined events related to service delivery</w:t>
      </w: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Administration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 xml:space="preserve">To support with planning, coordinating and hosting curriculum lead events involving learners, and stakeholders 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To support implementation of engagement strategies for monitoring</w:t>
      </w:r>
      <w:r>
        <w:rPr>
          <w:sz w:val="24"/>
          <w:szCs w:val="24"/>
        </w:rPr>
        <w:t xml:space="preserve"> learner attendance and punctuality to meet and exceed college targets.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To maintain and continuously review optimal levels of general resources available to support curriculum needs and enhance learner experience.</w:t>
      </w:r>
    </w:p>
    <w:p w:rsidR="00817246" w:rsidRDefault="00E7475F">
      <w:pPr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>To coordinate post collection and distribu</w:t>
      </w:r>
      <w:r>
        <w:rPr>
          <w:sz w:val="24"/>
          <w:szCs w:val="24"/>
        </w:rPr>
        <w:t>tion across all four college sites and manage post room activities.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To provide effective proactive administrative support to onsite core college curriculum areas including:</w:t>
      </w:r>
    </w:p>
    <w:p w:rsidR="00817246" w:rsidRDefault="00E7475F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add in key dates for </w:t>
      </w:r>
      <w:proofErr w:type="spellStart"/>
      <w:r>
        <w:rPr>
          <w:sz w:val="24"/>
          <w:szCs w:val="24"/>
        </w:rPr>
        <w:t>Markbook</w:t>
      </w:r>
      <w:proofErr w:type="spellEnd"/>
    </w:p>
    <w:p w:rsidR="00817246" w:rsidRDefault="00E7475F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record and monitor enrichment activities on ProMonitor in year</w:t>
      </w:r>
    </w:p>
    <w:p w:rsidR="00817246" w:rsidRDefault="00E7475F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entering VT2000 requests in a timely fashion </w:t>
      </w:r>
    </w:p>
    <w:p w:rsidR="00817246" w:rsidRDefault="00E7475F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attendance monitoring and chase up and recording online</w:t>
      </w:r>
    </w:p>
    <w:p w:rsidR="00817246" w:rsidRDefault="00E7475F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action plan minutes for meetings</w:t>
      </w:r>
    </w:p>
    <w:p w:rsidR="00817246" w:rsidRDefault="00817246">
      <w:pPr>
        <w:rPr>
          <w:sz w:val="24"/>
          <w:szCs w:val="24"/>
        </w:rPr>
      </w:pP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Executive Support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To drive and implement efficient execut</w:t>
      </w:r>
      <w:r>
        <w:rPr>
          <w:sz w:val="24"/>
          <w:szCs w:val="24"/>
        </w:rPr>
        <w:t>ive support services and processes to CEO, Executive Directors and Governors, including</w:t>
      </w:r>
    </w:p>
    <w:p w:rsidR="00817246" w:rsidRDefault="00E7475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Diary and email management</w:t>
      </w:r>
    </w:p>
    <w:p w:rsidR="00817246" w:rsidRDefault="00E7475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Telephone management / screening incoming calls</w:t>
      </w:r>
    </w:p>
    <w:p w:rsidR="00817246" w:rsidRDefault="00E7475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Booking and arranging travel, accommodation</w:t>
      </w:r>
    </w:p>
    <w:p w:rsidR="00817246" w:rsidRDefault="00E7475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Monitoring SLT budgets and processing expenses </w:t>
      </w:r>
    </w:p>
    <w:p w:rsidR="00817246" w:rsidRDefault="00E7475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reparing paperwork for signing / approval ensuring due diligence processes are followed</w:t>
      </w:r>
    </w:p>
    <w:p w:rsidR="00817246" w:rsidRDefault="00E7475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Preparing standard report templates for meetings / committees and proofreading and formatting final documents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To deliver all aspects of the scheduling of meetings, managerial activities and partnership events and maintain accurate narrative minutes and action plans.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To drive support to deliver projects and to ensure the tracking of actions and expected outcomes fo</w:t>
      </w:r>
      <w:r>
        <w:rPr>
          <w:sz w:val="24"/>
          <w:szCs w:val="24"/>
        </w:rPr>
        <w:t>llowing the agreed project plan.</w:t>
      </w: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we need from Service Users: 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SLT/managers to provide timely submission of information for report submissions in line with college calendar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Curriculum areas / staff to provide accurate and timely information for communi</w:t>
      </w:r>
      <w:r>
        <w:rPr>
          <w:sz w:val="24"/>
          <w:szCs w:val="24"/>
        </w:rPr>
        <w:t>cation to students, parents / guardians.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Curriculum areas to provide clear information and guidance when dealing with staff absence to keep learners informed in a timely fashion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 xml:space="preserve">Curriculum areas to provide clear information, communication of expectations, </w:t>
      </w:r>
      <w:r>
        <w:rPr>
          <w:sz w:val="24"/>
          <w:szCs w:val="24"/>
        </w:rPr>
        <w:t xml:space="preserve">priorities and timelines around aspects of curriculum support, such as </w:t>
      </w:r>
      <w:proofErr w:type="spellStart"/>
      <w:r>
        <w:rPr>
          <w:sz w:val="24"/>
          <w:szCs w:val="24"/>
        </w:rPr>
        <w:t>Markbook</w:t>
      </w:r>
      <w:proofErr w:type="spellEnd"/>
      <w:r>
        <w:rPr>
          <w:sz w:val="24"/>
          <w:szCs w:val="24"/>
        </w:rPr>
        <w:t>.</w:t>
      </w:r>
    </w:p>
    <w:p w:rsidR="00817246" w:rsidRDefault="003941A8">
      <w:pPr>
        <w:rPr>
          <w:sz w:val="24"/>
          <w:szCs w:val="24"/>
        </w:rPr>
      </w:pPr>
      <w:r>
        <w:rPr>
          <w:sz w:val="24"/>
          <w:szCs w:val="24"/>
        </w:rPr>
        <w:t>Curriculum areas/ SLT</w:t>
      </w:r>
      <w:r w:rsidR="00E7475F">
        <w:rPr>
          <w:sz w:val="24"/>
          <w:szCs w:val="24"/>
        </w:rPr>
        <w:t xml:space="preserve"> to provide clear communication of </w:t>
      </w:r>
      <w:proofErr w:type="gramStart"/>
      <w:r w:rsidR="00E7475F">
        <w:rPr>
          <w:sz w:val="24"/>
          <w:szCs w:val="24"/>
        </w:rPr>
        <w:t>expectations,  priorities</w:t>
      </w:r>
      <w:proofErr w:type="gramEnd"/>
      <w:r w:rsidR="00E7475F">
        <w:rPr>
          <w:sz w:val="24"/>
          <w:szCs w:val="24"/>
        </w:rPr>
        <w:t xml:space="preserve"> and timelines around aspects of curriculum / SLT led events </w:t>
      </w:r>
    </w:p>
    <w:p w:rsidR="00817246" w:rsidRDefault="00E7475F">
      <w:pPr>
        <w:rPr>
          <w:sz w:val="24"/>
          <w:szCs w:val="24"/>
        </w:rPr>
      </w:pPr>
      <w:r>
        <w:rPr>
          <w:sz w:val="24"/>
          <w:szCs w:val="24"/>
        </w:rPr>
        <w:t>Curriculum areas provide accur</w:t>
      </w:r>
      <w:r>
        <w:rPr>
          <w:sz w:val="24"/>
          <w:szCs w:val="24"/>
        </w:rPr>
        <w:t>ate and timely information when organising enrichment activities.</w:t>
      </w: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Service Standards &amp; Monitoring Success:</w:t>
      </w:r>
    </w:p>
    <w:p w:rsidR="00817246" w:rsidRDefault="00E7475F">
      <w:pPr>
        <w:spacing w:after="0"/>
        <w:rPr>
          <w:sz w:val="24"/>
          <w:szCs w:val="24"/>
        </w:rPr>
      </w:pPr>
      <w:r>
        <w:rPr>
          <w:sz w:val="24"/>
          <w:szCs w:val="24"/>
        </w:rPr>
        <w:t>Service standards set it this document and in detail in KPI section will be monitored on ongoing basis through quarterly review of SLAs and QIP.  Qual</w:t>
      </w:r>
      <w:r>
        <w:rPr>
          <w:sz w:val="24"/>
          <w:szCs w:val="24"/>
        </w:rPr>
        <w:t>ity feedback is collected via annual department surveys and through regular consultations with service users.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SLA &amp; QIP will be reviewed in line with College Strategic Quality Framework to ensure that the services </w:t>
      </w:r>
      <w:proofErr w:type="spellStart"/>
      <w:r>
        <w:rPr>
          <w:sz w:val="24"/>
          <w:szCs w:val="24"/>
        </w:rPr>
        <w:t>ameet</w:t>
      </w:r>
      <w:proofErr w:type="spellEnd"/>
      <w:r>
        <w:rPr>
          <w:sz w:val="24"/>
          <w:szCs w:val="24"/>
        </w:rPr>
        <w:t xml:space="preserve"> and contribute to corporate obje</w:t>
      </w:r>
      <w:r>
        <w:rPr>
          <w:sz w:val="24"/>
          <w:szCs w:val="24"/>
        </w:rPr>
        <w:t xml:space="preserve">ctives and areas for improvement. </w:t>
      </w:r>
    </w:p>
    <w:p w:rsidR="00817246" w:rsidRDefault="00817246">
      <w:pPr>
        <w:spacing w:after="0" w:line="240" w:lineRule="auto"/>
        <w:rPr>
          <w:sz w:val="24"/>
          <w:szCs w:val="24"/>
        </w:rPr>
      </w:pPr>
    </w:p>
    <w:p w:rsidR="00817246" w:rsidRDefault="00E747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Service delivery and standards:</w:t>
      </w:r>
    </w:p>
    <w:p w:rsidR="00817246" w:rsidRDefault="00E7475F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Meeting minutes distributed within 3 working days of meeting taking place to chair for approval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VT2000 contracts processed within 1 day of receiving the request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Timely communication to learners in line with SLA (aspect 1a-d)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Internal / External post distributed daily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Emails acknowledged/responded to within 2 working days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Course Information sheets processed within 2 working days </w:t>
      </w:r>
      <w:r>
        <w:rPr>
          <w:sz w:val="24"/>
          <w:szCs w:val="24"/>
        </w:rPr>
        <w:t>from receiving request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Formal lette</w:t>
      </w:r>
      <w:r>
        <w:rPr>
          <w:sz w:val="24"/>
          <w:szCs w:val="24"/>
        </w:rPr>
        <w:t>rs drafted within 2 working days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Comply to College Complaints &amp; suggestions processes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Resource requests completed within 2 working days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Admin support for </w:t>
      </w:r>
      <w:proofErr w:type="spellStart"/>
      <w:r>
        <w:rPr>
          <w:sz w:val="24"/>
          <w:szCs w:val="24"/>
        </w:rPr>
        <w:t>Markbook</w:t>
      </w:r>
      <w:proofErr w:type="spellEnd"/>
      <w:r>
        <w:rPr>
          <w:sz w:val="24"/>
          <w:szCs w:val="24"/>
        </w:rPr>
        <w:t xml:space="preserve"> maintenance tasks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Management of diaries and meetings for Executive Directors and Directors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ED</w:t>
      </w:r>
      <w:r>
        <w:rPr>
          <w:sz w:val="24"/>
          <w:szCs w:val="24"/>
        </w:rPr>
        <w:t>s internal mail opened/actioned daily</w:t>
      </w:r>
    </w:p>
    <w:p w:rsidR="00817246" w:rsidRDefault="00E747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EDs request for a meeting actioned within 3 working days (</w:t>
      </w:r>
      <w:proofErr w:type="spellStart"/>
      <w:r>
        <w:rPr>
          <w:sz w:val="24"/>
          <w:szCs w:val="24"/>
        </w:rPr>
        <w:t xml:space="preserve">non </w:t>
      </w:r>
      <w:bookmarkStart w:id="1" w:name="_GoBack"/>
      <w:bookmarkEnd w:id="1"/>
      <w:r>
        <w:rPr>
          <w:sz w:val="24"/>
          <w:szCs w:val="24"/>
        </w:rPr>
        <w:t>urgent</w:t>
      </w:r>
      <w:proofErr w:type="spellEnd"/>
      <w:r>
        <w:rPr>
          <w:sz w:val="24"/>
          <w:szCs w:val="24"/>
        </w:rPr>
        <w:t>)</w:t>
      </w:r>
    </w:p>
    <w:p w:rsidR="00817246" w:rsidRDefault="00817246">
      <w:pPr>
        <w:spacing w:after="0" w:line="240" w:lineRule="auto"/>
        <w:rPr>
          <w:b/>
          <w:sz w:val="24"/>
          <w:szCs w:val="24"/>
        </w:rPr>
      </w:pPr>
    </w:p>
    <w:p w:rsidR="00817246" w:rsidRDefault="00E7475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Complaints:</w:t>
      </w:r>
    </w:p>
    <w:p w:rsidR="00817246" w:rsidRDefault="00E747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Complaints about the standards of service should, in the first instance, be directed informally to the Executive Assistant. Formal comp</w:t>
      </w:r>
      <w:r>
        <w:rPr>
          <w:sz w:val="24"/>
          <w:szCs w:val="24"/>
        </w:rPr>
        <w:t>laints about the service should be directed to the CEO.</w:t>
      </w:r>
    </w:p>
    <w:p w:rsidR="00817246" w:rsidRDefault="00817246">
      <w:pPr>
        <w:rPr>
          <w:b/>
          <w:sz w:val="24"/>
          <w:szCs w:val="24"/>
        </w:rPr>
      </w:pPr>
    </w:p>
    <w:p w:rsidR="00817246" w:rsidRDefault="00E747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Key Performance Indicators (monitored via QIP and regular performance reviews):</w:t>
      </w:r>
    </w:p>
    <w:tbl>
      <w:tblPr>
        <w:tblStyle w:val="a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8567"/>
      </w:tblGrid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support college KPI on reaching 88% attendance and 95% punctuality by distributing league table issued weekly by</w:t>
            </w:r>
            <w:r>
              <w:rPr>
                <w:sz w:val="24"/>
                <w:szCs w:val="24"/>
              </w:rPr>
              <w:t xml:space="preserve"> COP Monday 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support learner attendance by recording attendance monitoring phone calls on ProMonitor in year and text messages to learners - urgent sent within 1 hour, </w:t>
            </w:r>
            <w:proofErr w:type="spellStart"/>
            <w:r>
              <w:rPr>
                <w:sz w:val="24"/>
                <w:szCs w:val="24"/>
              </w:rPr>
              <w:t>non urgent</w:t>
            </w:r>
            <w:proofErr w:type="spellEnd"/>
            <w:r>
              <w:rPr>
                <w:sz w:val="24"/>
                <w:szCs w:val="24"/>
              </w:rPr>
              <w:t xml:space="preserve"> within 1 working day from receiving request and issue good attendance certificates prin</w:t>
            </w:r>
            <w:r>
              <w:rPr>
                <w:sz w:val="24"/>
                <w:szCs w:val="24"/>
              </w:rPr>
              <w:t>ted/distributed within 5 days after end of monitoring period (currently monthly)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Notices on classroom doors (staff absence) displayed within 30 minutes of receiving notification and inform of cover arrangements if provided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Warning/invitation lett</w:t>
            </w:r>
            <w:r>
              <w:rPr>
                <w:sz w:val="24"/>
                <w:szCs w:val="24"/>
              </w:rPr>
              <w:t xml:space="preserve">ers to learners/parents drafted and sent within 3 working days from receiving request 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support college in its KPI &amp; CSF of being a good place to study and KPI of QDP question  “I would recommend the college to a friend/family member” above 92% by su</w:t>
            </w:r>
            <w:r>
              <w:rPr>
                <w:sz w:val="24"/>
                <w:szCs w:val="24"/>
              </w:rPr>
              <w:t>pporting a good learner experience when dealing with learners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Complaints acknowledged and passed to Quality within 24 hours of receipt to follow College procedures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support College strategic vision and maintaining Google College status by supporting all executive support and admin staff to obtain suitable qualification (Strategic Objective 3 - utilising technology to improve business process)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meet reduction </w:t>
            </w:r>
            <w:r>
              <w:rPr>
                <w:sz w:val="24"/>
                <w:szCs w:val="24"/>
              </w:rPr>
              <w:t>in sickness levels to required targets in year (2.3%)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support admin </w:t>
            </w:r>
            <w:proofErr w:type="spellStart"/>
            <w:r>
              <w:rPr>
                <w:sz w:val="24"/>
                <w:szCs w:val="24"/>
              </w:rPr>
              <w:t>Markbook</w:t>
            </w:r>
            <w:proofErr w:type="spellEnd"/>
            <w:r>
              <w:rPr>
                <w:sz w:val="24"/>
                <w:szCs w:val="24"/>
              </w:rPr>
              <w:t xml:space="preserve"> target setting and review dates each term via the agreed admin listed ProMonitor report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support curriculum by adding enrichment activities ProMonitor within 3 days from receiving request</w:t>
            </w:r>
          </w:p>
        </w:tc>
      </w:tr>
      <w:tr w:rsidR="00817246">
        <w:trPr>
          <w:trHeight w:val="420"/>
        </w:trPr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90%+ approval rating (good or better with 65% graded as excellent) from annual survey of service users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To continue to effectively manage EDs diari</w:t>
            </w:r>
            <w:r>
              <w:rPr>
                <w:color w:val="222222"/>
                <w:sz w:val="24"/>
                <w:szCs w:val="24"/>
              </w:rPr>
              <w:t xml:space="preserve">es and meeting commitments to ensure a productive balance of meetings and preparation time 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To ensure timely collation and distribution of Governors papers in line with agreed timelines (first draft due 2 weeks prior to the meeting, papers distributed 7 days prior to the meeting) </w:t>
            </w:r>
          </w:p>
        </w:tc>
      </w:tr>
      <w:tr w:rsidR="00817246">
        <w:tc>
          <w:tcPr>
            <w:tcW w:w="675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67" w:type="dxa"/>
          </w:tcPr>
          <w:p w:rsidR="00817246" w:rsidRDefault="00E7475F">
            <w:pPr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To provide customer service excellence by acknowledging email</w:t>
            </w:r>
            <w:r>
              <w:rPr>
                <w:color w:val="222222"/>
                <w:sz w:val="24"/>
                <w:szCs w:val="24"/>
              </w:rPr>
              <w:t>s within 2 working days and meeting/greeting visitors on their arrival</w:t>
            </w:r>
          </w:p>
        </w:tc>
      </w:tr>
    </w:tbl>
    <w:p w:rsidR="00817246" w:rsidRDefault="00817246">
      <w:pPr>
        <w:spacing w:after="0"/>
      </w:pPr>
    </w:p>
    <w:sectPr w:rsidR="00817246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C15"/>
    <w:multiLevelType w:val="multilevel"/>
    <w:tmpl w:val="70329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A52B5"/>
    <w:multiLevelType w:val="multilevel"/>
    <w:tmpl w:val="401AB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DC78D6"/>
    <w:multiLevelType w:val="multilevel"/>
    <w:tmpl w:val="F836FA18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8351B"/>
    <w:multiLevelType w:val="multilevel"/>
    <w:tmpl w:val="FDFA0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46"/>
    <w:rsid w:val="003941A8"/>
    <w:rsid w:val="00817246"/>
    <w:rsid w:val="00D73E41"/>
    <w:rsid w:val="00E7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03FF"/>
  <w15:docId w15:val="{D36BB735-0402-4982-B0F9-FE8FD8E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Ealing Hammersmith &amp; West London College</Company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Kulvinder MADAHAR</dc:creator>
  <cp:lastModifiedBy>Kulvinder MADAHAR</cp:lastModifiedBy>
  <cp:revision>2</cp:revision>
  <dcterms:created xsi:type="dcterms:W3CDTF">2018-11-21T14:37:00Z</dcterms:created>
  <dcterms:modified xsi:type="dcterms:W3CDTF">2018-11-21T14:37:00Z</dcterms:modified>
</cp:coreProperties>
</file>