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B15E" w14:textId="77777777" w:rsidR="0075745F" w:rsidRDefault="0075745F" w:rsidP="0075745F">
      <w:pPr>
        <w:pStyle w:val="Titre3"/>
        <w:numPr>
          <w:ilvl w:val="1"/>
          <w:numId w:val="4"/>
        </w:numPr>
        <w:spacing w:before="360" w:line="276" w:lineRule="auto"/>
        <w:ind w:left="576" w:hanging="576"/>
        <w:rPr>
          <w:b/>
          <w:bCs/>
          <w:color w:val="4F81BD"/>
          <w:sz w:val="28"/>
          <w:lang w:val="x-none"/>
        </w:rPr>
      </w:pPr>
      <w:bookmarkStart w:id="0" w:name="_Toc181105684"/>
      <w:bookmarkStart w:id="1" w:name="_Hlk18602052"/>
      <w:bookmarkStart w:id="2" w:name="_Hlk160091175"/>
      <w:bookmarkStart w:id="3" w:name="_Hlk179375636"/>
      <w:r>
        <w:rPr>
          <w:b/>
          <w:bCs/>
          <w:i/>
          <w:color w:val="4F81BD"/>
          <w:sz w:val="28"/>
        </w:rPr>
        <w:t>Zones humides</w:t>
      </w:r>
      <w:bookmarkEnd w:id="0"/>
    </w:p>
    <w:bookmarkEnd w:id="1"/>
    <w:bookmarkEnd w:id="2"/>
    <w:bookmarkEnd w:id="3"/>
    <w:p w14:paraId="61176BE4" w14:textId="77777777" w:rsidR="0075745F" w:rsidRDefault="0075745F" w:rsidP="0075745F">
      <w:pPr>
        <w:autoSpaceDE w:val="0"/>
        <w:autoSpaceDN w:val="0"/>
        <w:adjustRightInd w:val="0"/>
        <w:spacing w:line="276" w:lineRule="auto"/>
        <w:rPr>
          <w:sz w:val="24"/>
          <w:szCs w:val="24"/>
        </w:rPr>
      </w:pPr>
      <w:r>
        <w:rPr>
          <w:rFonts w:eastAsia="Times New Roman" w:cs="Calibri"/>
          <w:color w:val="000000"/>
          <w:lang w:eastAsia="fr-FR"/>
        </w:rPr>
        <w:t xml:space="preserve">Les </w:t>
      </w:r>
      <w:r>
        <w:rPr>
          <w:rFonts w:eastAsia="Times New Roman" w:cs="Calibri"/>
          <w:b/>
          <w:bCs/>
          <w:color w:val="000000"/>
          <w:lang w:eastAsia="fr-FR"/>
        </w:rPr>
        <w:t>zones humides</w:t>
      </w:r>
      <w:r>
        <w:rPr>
          <w:rFonts w:eastAsia="Times New Roman" w:cs="Calibri"/>
          <w:color w:val="000000"/>
          <w:lang w:eastAsia="fr-FR"/>
        </w:rPr>
        <w:t xml:space="preserve"> remplissent des fonctions essentielles au maintien des équilibres écologiques et rendent des services à la collectivité. Selon l’article L211-1 du Code de l’Environnement, les zones humides sont définies comme « les terrains, exploités ou non, habituellement inondés ou gorgés d’eau douce, salée ou saumâtre de façon permanente ou temporaire ; la végétation, quand elle existe, y est dominée par des plantes hygrophiles au moins une partie de l’année ». Selon leur état de conservation, les zones humides assurent tout ou au moins une partie des trois grandes fonctionnalités suivantes :</w:t>
      </w:r>
    </w:p>
    <w:p w14:paraId="5A92F6B3" w14:textId="77777777" w:rsidR="0075745F" w:rsidRDefault="0075745F" w:rsidP="0075745F">
      <w:pPr>
        <w:pStyle w:val="Paragraphedeliste"/>
        <w:numPr>
          <w:ilvl w:val="0"/>
          <w:numId w:val="9"/>
        </w:numPr>
        <w:spacing w:before="0" w:after="0" w:line="276" w:lineRule="auto"/>
        <w:rPr>
          <w:rFonts w:eastAsia="Times New Roman" w:cs="Calibri"/>
          <w:color w:val="000000"/>
          <w:lang w:eastAsia="fr-FR"/>
        </w:rPr>
      </w:pPr>
      <w:r>
        <w:rPr>
          <w:rFonts w:eastAsia="Times New Roman" w:cs="Calibri"/>
          <w:b/>
          <w:bCs/>
          <w:color w:val="000000"/>
          <w:lang w:eastAsia="fr-FR"/>
        </w:rPr>
        <w:t>Régulation des régimes hydrologiques</w:t>
      </w:r>
      <w:r>
        <w:rPr>
          <w:rFonts w:ascii="Calibri-Bold" w:eastAsia="Times New Roman" w:hAnsi="Calibri-Bold"/>
          <w:b/>
          <w:bCs/>
          <w:color w:val="000000"/>
          <w:lang w:eastAsia="fr-FR"/>
        </w:rPr>
        <w:t xml:space="preserve"> </w:t>
      </w:r>
      <w:r>
        <w:rPr>
          <w:rFonts w:eastAsia="Times New Roman" w:cs="Calibri"/>
          <w:color w:val="000000"/>
          <w:lang w:eastAsia="fr-FR"/>
        </w:rPr>
        <w:t>: les zones humides retardent globalement le ruissellement des eaux de pluies et le transfert immédiat des eaux superficielles vers l'aval du bassin-versant. Telles des éponges, elles "absorbent" momentanément l'excès d'eau puis le restituent progressivement lors des périodes de sécheresse. Elles permettent, pour une part variable suivant les sites, la réduction de l'intensité des crues, et soutiennent les débits des cours d'eau, sources et nappes en période d'étiage.</w:t>
      </w:r>
    </w:p>
    <w:p w14:paraId="530F07F1" w14:textId="77777777" w:rsidR="0075745F" w:rsidRDefault="0075745F" w:rsidP="0075745F">
      <w:pPr>
        <w:pStyle w:val="Paragraphedeliste"/>
        <w:numPr>
          <w:ilvl w:val="0"/>
          <w:numId w:val="9"/>
        </w:numPr>
        <w:spacing w:before="0" w:after="0" w:line="276" w:lineRule="auto"/>
        <w:rPr>
          <w:rFonts w:eastAsia="Times New Roman" w:cs="Calibri"/>
          <w:color w:val="000000"/>
          <w:lang w:eastAsia="fr-FR"/>
        </w:rPr>
      </w:pPr>
      <w:bookmarkStart w:id="4" w:name="_Hlk154048681"/>
      <w:r>
        <w:rPr>
          <w:rFonts w:eastAsia="Times New Roman" w:cs="Calibri"/>
          <w:b/>
          <w:bCs/>
          <w:color w:val="000000"/>
          <w:lang w:eastAsia="fr-FR"/>
        </w:rPr>
        <w:t>Autoépuration et protection de la qualité des eaux</w:t>
      </w:r>
      <w:r>
        <w:rPr>
          <w:rFonts w:ascii="Calibri-Bold" w:eastAsia="Times New Roman" w:hAnsi="Calibri-Bold"/>
          <w:b/>
          <w:bCs/>
          <w:color w:val="000000"/>
          <w:lang w:eastAsia="fr-FR"/>
        </w:rPr>
        <w:t xml:space="preserve"> </w:t>
      </w:r>
      <w:r>
        <w:rPr>
          <w:rFonts w:eastAsia="Times New Roman" w:cs="Calibri"/>
          <w:color w:val="000000"/>
          <w:lang w:eastAsia="fr-FR"/>
        </w:rPr>
        <w:t>: les zones humides contribuent au maintien et à l'amélioration de la qualité de l'eau en agissant comme filtres épurateurs des eaux souterraines ou superficielles.</w:t>
      </w:r>
    </w:p>
    <w:bookmarkEnd w:id="4"/>
    <w:p w14:paraId="02B09D5E" w14:textId="77777777" w:rsidR="0075745F" w:rsidRDefault="0075745F" w:rsidP="0075745F">
      <w:pPr>
        <w:pStyle w:val="Paragraphedeliste"/>
        <w:numPr>
          <w:ilvl w:val="0"/>
          <w:numId w:val="9"/>
        </w:numPr>
        <w:spacing w:before="0" w:after="0" w:line="276" w:lineRule="auto"/>
        <w:rPr>
          <w:rFonts w:eastAsia="Times New Roman" w:cs="Calibri"/>
          <w:color w:val="000000"/>
          <w:lang w:eastAsia="fr-FR"/>
        </w:rPr>
      </w:pPr>
      <w:r>
        <w:rPr>
          <w:rFonts w:eastAsia="Times New Roman" w:cs="Calibri"/>
          <w:b/>
          <w:bCs/>
          <w:color w:val="000000"/>
          <w:lang w:eastAsia="fr-FR"/>
        </w:rPr>
        <w:t>Réservoir biologique</w:t>
      </w:r>
      <w:r>
        <w:rPr>
          <w:rFonts w:ascii="Calibri-Bold" w:eastAsia="Times New Roman" w:hAnsi="Calibri-Bold"/>
          <w:b/>
          <w:bCs/>
          <w:color w:val="000000"/>
          <w:lang w:eastAsia="fr-FR"/>
        </w:rPr>
        <w:t xml:space="preserve"> </w:t>
      </w:r>
      <w:r>
        <w:rPr>
          <w:rFonts w:eastAsia="Times New Roman" w:cs="Calibri"/>
          <w:color w:val="000000"/>
          <w:lang w:eastAsia="fr-FR"/>
        </w:rPr>
        <w:t>: espaces de transition entre la terre et l’eau les zones humides présentent une potentialité biologique souvent plus élevée que les autres milieux. Lorsqu’elles sont peu anthropisées, de nombreuses espèces végétales et animales y vivent de façon permanente ou transitoire. Elles assurent ainsi des fonctions d'alimentation, de reproduction, mais aussi de refuge. C’est pourquoi leur sauvegarde est une obligation légale qui relève de l’intérêt général.</w:t>
      </w:r>
    </w:p>
    <w:p w14:paraId="4C91D971" w14:textId="77777777" w:rsidR="0075745F" w:rsidRDefault="0075745F" w:rsidP="0075745F">
      <w:pPr>
        <w:autoSpaceDE w:val="0"/>
        <w:autoSpaceDN w:val="0"/>
        <w:adjustRightInd w:val="0"/>
        <w:spacing w:before="240" w:line="276" w:lineRule="auto"/>
      </w:pPr>
      <w:r>
        <w:t>Deux critères fondamentaux doivent être étudiés pour délimiter une zone humide :</w:t>
      </w:r>
    </w:p>
    <w:p w14:paraId="124FAA09" w14:textId="77777777" w:rsidR="0075745F" w:rsidRDefault="0075745F" w:rsidP="0075745F">
      <w:pPr>
        <w:numPr>
          <w:ilvl w:val="0"/>
          <w:numId w:val="3"/>
        </w:numPr>
        <w:autoSpaceDE w:val="0"/>
        <w:autoSpaceDN w:val="0"/>
        <w:adjustRightInd w:val="0"/>
        <w:spacing w:after="0" w:line="276" w:lineRule="auto"/>
      </w:pPr>
      <w:r>
        <w:t xml:space="preserve">les </w:t>
      </w:r>
      <w:r>
        <w:rPr>
          <w:b/>
        </w:rPr>
        <w:t>couches pédologiques</w:t>
      </w:r>
      <w:r>
        <w:t xml:space="preserve"> représentatives des zones humides : les </w:t>
      </w:r>
      <w:proofErr w:type="spellStart"/>
      <w:r>
        <w:t>histosols</w:t>
      </w:r>
      <w:proofErr w:type="spellEnd"/>
      <w:r>
        <w:t xml:space="preserve"> et les </w:t>
      </w:r>
      <w:proofErr w:type="spellStart"/>
      <w:r>
        <w:t>réductisols</w:t>
      </w:r>
      <w:proofErr w:type="spellEnd"/>
      <w:r>
        <w:t xml:space="preserve"> (engorgement d’eau permanent) ainsi que certaines </w:t>
      </w:r>
      <w:proofErr w:type="spellStart"/>
      <w:r>
        <w:t>rédoxisols</w:t>
      </w:r>
      <w:proofErr w:type="spellEnd"/>
      <w:r>
        <w:t xml:space="preserve"> (Art. 1</w:t>
      </w:r>
      <w:r>
        <w:rPr>
          <w:vertAlign w:val="superscript"/>
        </w:rPr>
        <w:t>er</w:t>
      </w:r>
      <w:r>
        <w:t xml:space="preserve"> – 1°) ;</w:t>
      </w:r>
    </w:p>
    <w:p w14:paraId="153AC78E" w14:textId="77777777" w:rsidR="0075745F" w:rsidRDefault="0075745F" w:rsidP="0075745F">
      <w:pPr>
        <w:numPr>
          <w:ilvl w:val="0"/>
          <w:numId w:val="3"/>
        </w:numPr>
        <w:autoSpaceDE w:val="0"/>
        <w:autoSpaceDN w:val="0"/>
        <w:adjustRightInd w:val="0"/>
        <w:spacing w:after="0" w:line="276" w:lineRule="auto"/>
      </w:pPr>
      <w:r>
        <w:t xml:space="preserve">la </w:t>
      </w:r>
      <w:r>
        <w:rPr>
          <w:b/>
        </w:rPr>
        <w:t>végétation hygrophile</w:t>
      </w:r>
      <w:r>
        <w:t xml:space="preserve"> : communauté végétale formée d’espèces demandant à être régulièrement alimentée en eau et se développant principalement dans les stations humides. Cette végétation est déterminée soit à partir de l’identification et de la quantification des espèces représentatives de zones humides (liste proposée dans l’arrêté ministériel), soit en fonction de la présence d’habitat humide caractéristique (Art. 1</w:t>
      </w:r>
      <w:r>
        <w:rPr>
          <w:vertAlign w:val="superscript"/>
        </w:rPr>
        <w:t>er</w:t>
      </w:r>
      <w:r>
        <w:t xml:space="preserve"> – 2°).</w:t>
      </w:r>
    </w:p>
    <w:p w14:paraId="0B06537A" w14:textId="66FC1927" w:rsidR="0075745F" w:rsidRDefault="00864E5F" w:rsidP="0075745F">
      <w:pPr>
        <w:autoSpaceDE w:val="0"/>
        <w:autoSpaceDN w:val="0"/>
        <w:adjustRightInd w:val="0"/>
        <w:spacing w:after="0" w:line="276" w:lineRule="auto"/>
      </w:pPr>
      <w:r>
        <w:t>Plusieurs zones humides avérées sont présentes au sein de l’aire d’étude élargie :</w:t>
      </w:r>
    </w:p>
    <w:p w14:paraId="56E0D307" w14:textId="77777777" w:rsidR="00864E5F" w:rsidRDefault="00864E5F" w:rsidP="0075745F">
      <w:pPr>
        <w:autoSpaceDE w:val="0"/>
        <w:autoSpaceDN w:val="0"/>
        <w:adjustRightInd w:val="0"/>
        <w:spacing w:after="0" w:line="276" w:lineRule="auto"/>
      </w:pPr>
    </w:p>
    <w:p w14:paraId="1C1E6BE9" w14:textId="13559541" w:rsidR="0075745F" w:rsidRDefault="00B8374D" w:rsidP="0075745F">
      <w:pPr>
        <w:spacing w:before="0" w:after="0" w:line="276" w:lineRule="auto"/>
        <w:jc w:val="left"/>
        <w:rPr>
          <w:rFonts w:eastAsia="Times New Roman" w:cs="Calibri"/>
          <w:color w:val="000000"/>
          <w:lang w:eastAsia="fr-FR"/>
        </w:rPr>
      </w:pPr>
      <w:r w:rsidRPr="00B8374D">
        <w:rPr>
          <w:rFonts w:eastAsia="Times New Roman" w:cs="Calibri"/>
          <w:color w:val="000000"/>
          <w:lang w:eastAsia="fr-FR"/>
        </w:rPr>
        <w:t>ICI IL Y A LA LISTE DES DES ZONNAGES</w:t>
      </w:r>
    </w:p>
    <w:p w14:paraId="554B8ECB" w14:textId="77777777" w:rsidR="00B8374D" w:rsidRDefault="00B8374D" w:rsidP="0075745F">
      <w:pPr>
        <w:spacing w:before="0" w:after="0" w:line="276" w:lineRule="auto"/>
        <w:jc w:val="left"/>
        <w:rPr>
          <w:rFonts w:eastAsia="Times New Roman" w:cs="Calibri"/>
          <w:color w:val="000000"/>
          <w:highlight w:val="yellow"/>
          <w:lang w:eastAsia="fr-FR"/>
        </w:rPr>
      </w:pPr>
    </w:p>
    <w:sectPr w:rsidR="00B8374D"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Bold">
    <w:altName w:val="Calibri"/>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310871"/>
    <w:rsid w:val="00353D0E"/>
    <w:rsid w:val="00594C25"/>
    <w:rsid w:val="006F11F7"/>
    <w:rsid w:val="0075745F"/>
    <w:rsid w:val="00820EDA"/>
    <w:rsid w:val="00864E5F"/>
    <w:rsid w:val="00973BF8"/>
    <w:rsid w:val="00984369"/>
    <w:rsid w:val="00B8374D"/>
    <w:rsid w:val="00BC65F8"/>
    <w:rsid w:val="00C31767"/>
    <w:rsid w:val="00D05845"/>
    <w:rsid w:val="00D23BB5"/>
    <w:rsid w:val="00D4411D"/>
    <w:rsid w:val="00DF4622"/>
    <w:rsid w:val="00E11C2E"/>
    <w:rsid w:val="00FD48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871"/>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semiHidden/>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semiHidden/>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400</Words>
  <Characters>2202</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12</cp:revision>
  <dcterms:created xsi:type="dcterms:W3CDTF">2024-11-05T13:14:00Z</dcterms:created>
  <dcterms:modified xsi:type="dcterms:W3CDTF">2024-12-02T18:03:00Z</dcterms:modified>
</cp:coreProperties>
</file>