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6D717" w14:textId="77777777" w:rsidR="0075745F" w:rsidRDefault="0075745F" w:rsidP="0075745F">
      <w:pPr>
        <w:pStyle w:val="Titre1"/>
        <w:numPr>
          <w:ilvl w:val="0"/>
          <w:numId w:val="4"/>
        </w:numPr>
        <w:pBdr>
          <w:bottom w:val="single" w:sz="4" w:space="1" w:color="365F91"/>
        </w:pBdr>
        <w:tabs>
          <w:tab w:val="num" w:pos="720"/>
        </w:tabs>
        <w:spacing w:before="240" w:line="276" w:lineRule="auto"/>
        <w:ind w:left="432" w:hanging="432"/>
        <w:rPr>
          <w:b/>
          <w:bCs/>
          <w:noProof w:val="0"/>
          <w:color w:val="365F91"/>
          <w:spacing w:val="0"/>
          <w:lang w:val="x-none"/>
        </w:rPr>
      </w:pPr>
      <w:bookmarkStart w:id="0" w:name="_Toc181105673"/>
      <w:r>
        <w:rPr>
          <w:b/>
          <w:bCs/>
          <w:noProof w:val="0"/>
          <w:color w:val="365F91"/>
          <w:spacing w:val="0"/>
          <w:lang w:val="x-none"/>
        </w:rPr>
        <w:t>CONTEXTE ÉCOLOGIQUE DU TERRITOIRE ÉTUDIÉ</w:t>
      </w:r>
      <w:bookmarkEnd w:id="0"/>
    </w:p>
    <w:p w14:paraId="77A67AAC" w14:textId="77777777" w:rsidR="0075745F" w:rsidRDefault="0075745F" w:rsidP="0075745F">
      <w:pPr>
        <w:autoSpaceDE w:val="0"/>
        <w:autoSpaceDN w:val="0"/>
        <w:adjustRightInd w:val="0"/>
        <w:spacing w:before="240" w:line="276" w:lineRule="auto"/>
      </w:pPr>
      <w:r>
        <w:rPr>
          <w:rFonts w:eastAsia="Times New Roman"/>
          <w:lang w:eastAsia="fr-FR"/>
        </w:rPr>
        <w:t xml:space="preserve">Ce chapitre présente les espaces naturels remarquables sur le territoire étudié, </w:t>
      </w:r>
      <w:r>
        <w:rPr>
          <w:rFonts w:eastAsia="Times New Roman"/>
          <w:i/>
          <w:lang w:eastAsia="fr-FR"/>
        </w:rPr>
        <w:t>i.e.</w:t>
      </w:r>
      <w:r>
        <w:rPr>
          <w:rFonts w:eastAsia="Times New Roman"/>
          <w:lang w:eastAsia="fr-FR"/>
        </w:rPr>
        <w:t xml:space="preserve"> la zone d’étude du projet et sa périphérie (</w:t>
      </w:r>
      <w:r>
        <w:rPr>
          <w:rFonts w:eastAsia="Times New Roman"/>
          <w:i/>
          <w:lang w:eastAsia="fr-FR"/>
        </w:rPr>
        <w:t>Source</w:t>
      </w:r>
      <w:r>
        <w:rPr>
          <w:rFonts w:eastAsia="Times New Roman"/>
          <w:lang w:eastAsia="fr-FR"/>
        </w:rPr>
        <w:t xml:space="preserve"> : DREAL Auvergne-Rhône-Alpes et MNHN-INPN, Octobre 2024). </w:t>
      </w:r>
      <w:r>
        <w:t xml:space="preserve">L’ensemble du contexte écologique est présenté sous forme de cartographie. Néanmoins, seuls les espaces comportant une </w:t>
      </w:r>
      <w:r>
        <w:rPr>
          <w:b/>
          <w:bCs/>
        </w:rPr>
        <w:t xml:space="preserve">connexion fonctionnelle potentiellement significative avec la surface d’influence du projet </w:t>
      </w:r>
      <w:r>
        <w:t>sont détaillés précisément (généralement les zones englobant l’emprise du projet ou possédant des interrelations écologiques notables à moins de 5 km).</w:t>
      </w:r>
    </w:p>
    <w:p w14:paraId="48BD1949" w14:textId="77777777" w:rsidR="0075745F" w:rsidRDefault="0075745F" w:rsidP="0075745F">
      <w:pPr>
        <w:autoSpaceDE w:val="0"/>
        <w:autoSpaceDN w:val="0"/>
        <w:adjustRightInd w:val="0"/>
        <w:spacing w:before="240" w:line="276" w:lineRule="auto"/>
      </w:pPr>
    </w:p>
    <w:p w14:paraId="197FE8A7" w14:textId="77777777" w:rsidR="0075745F" w:rsidRDefault="0075745F" w:rsidP="0075745F">
      <w:pPr>
        <w:pStyle w:val="Lgende"/>
        <w:spacing w:line="276" w:lineRule="auto"/>
      </w:pPr>
      <w:bookmarkStart w:id="1" w:name="_Toc171327217"/>
      <w:bookmarkStart w:id="2" w:name="_Toc181105734"/>
      <w:r>
        <w:t xml:space="preserve">Tableau </w:t>
      </w:r>
      <w:fldSimple w:instr=" SEQ Tableau \* ARABIC ">
        <w:r>
          <w:rPr>
            <w:noProof/>
          </w:rPr>
          <w:t>2</w:t>
        </w:r>
      </w:fldSimple>
      <w:r>
        <w:t xml:space="preserve"> : Espaces naturels remarquables</w:t>
      </w:r>
      <w:bookmarkEnd w:id="1"/>
      <w:bookmarkEnd w:id="2"/>
    </w:p>
    <w:p w14:paraId="223C0FFD" w14:textId="063897FE" w:rsidR="006F11F7" w:rsidRDefault="004F4042" w:rsidP="006F11F7">
      <w:pPr>
        <w:autoSpaceDE w:val="0"/>
        <w:autoSpaceDN w:val="0"/>
        <w:adjustRightInd w:val="0"/>
        <w:spacing w:before="180" w:line="276" w:lineRule="auto"/>
        <w:jc w:val="center"/>
        <w:rPr>
          <w:rFonts w:eastAsia="Times New Roman"/>
          <w:lang w:eastAsia="fr-FR"/>
        </w:rPr>
      </w:pPr>
      <w:bookmarkStart w:id="3" w:name="_Toc109982938"/>
      <w:bookmarkStart w:id="4" w:name="_Toc117786613"/>
      <w:r>
        <w:rPr>
          <w:rFonts w:eastAsia="Times New Roman"/>
          <w:highlight w:val="yellow"/>
          <w:lang w:eastAsia="fr-FR"/>
        </w:rPr>
        <w:t xml:space="preserve">ICI IL Y A LA LISTE DES </w:t>
      </w:r>
      <w:proofErr w:type="spellStart"/>
      <w:r>
        <w:rPr>
          <w:rFonts w:eastAsia="Times New Roman"/>
          <w:highlight w:val="yellow"/>
          <w:lang w:eastAsia="fr-FR"/>
        </w:rPr>
        <w:t>DES</w:t>
      </w:r>
      <w:proofErr w:type="spellEnd"/>
      <w:r>
        <w:rPr>
          <w:rFonts w:eastAsia="Times New Roman"/>
          <w:highlight w:val="yellow"/>
          <w:lang w:eastAsia="fr-FR"/>
        </w:rPr>
        <w:t xml:space="preserve"> ZONNAGES</w:t>
      </w:r>
    </w:p>
    <w:p w14:paraId="6B26BF31" w14:textId="77777777" w:rsidR="006F11F7" w:rsidRDefault="006F11F7" w:rsidP="0075745F">
      <w:pPr>
        <w:autoSpaceDE w:val="0"/>
        <w:autoSpaceDN w:val="0"/>
        <w:adjustRightInd w:val="0"/>
        <w:spacing w:before="180" w:line="276" w:lineRule="auto"/>
        <w:rPr>
          <w:rFonts w:eastAsia="Times New Roman"/>
          <w:lang w:eastAsia="fr-FR"/>
        </w:rPr>
      </w:pPr>
    </w:p>
    <w:p w14:paraId="31ABFA59" w14:textId="753E1E8B" w:rsidR="0075745F" w:rsidRDefault="0075745F" w:rsidP="0075745F">
      <w:pPr>
        <w:autoSpaceDE w:val="0"/>
        <w:autoSpaceDN w:val="0"/>
        <w:adjustRightInd w:val="0"/>
        <w:spacing w:before="180" w:line="276" w:lineRule="auto"/>
        <w:rPr>
          <w:rFonts w:eastAsia="Times New Roman"/>
          <w:lang w:eastAsia="fr-FR"/>
        </w:rPr>
      </w:pPr>
      <w:r>
        <w:rPr>
          <w:rFonts w:eastAsia="Times New Roman"/>
          <w:lang w:eastAsia="fr-FR"/>
        </w:rPr>
        <w:t>Remarque : le nom des espaces naturels remarquables est associé à un hyperlien de l’INPN vers la fiche descriptive de chaque site le cas échéant.</w:t>
      </w:r>
    </w:p>
    <w:bookmarkEnd w:id="3"/>
    <w:bookmarkEnd w:id="4"/>
    <w:p w14:paraId="7106DD5B" w14:textId="749E57C4" w:rsidR="00984369" w:rsidRDefault="00984369" w:rsidP="00094CD4">
      <w:pPr>
        <w:spacing w:before="0" w:after="160" w:line="256" w:lineRule="auto"/>
        <w:jc w:val="left"/>
        <w:rPr>
          <w:i/>
          <w:color w:val="4F81BD"/>
          <w:sz w:val="28"/>
          <w:lang w:val="x-none"/>
        </w:rPr>
      </w:pPr>
    </w:p>
    <w:p w14:paraId="4F6FD378" w14:textId="77777777" w:rsidR="00D877B2" w:rsidRDefault="00D877B2" w:rsidP="00D877B2">
      <w:pPr>
        <w:pStyle w:val="Titre3"/>
        <w:numPr>
          <w:ilvl w:val="1"/>
          <w:numId w:val="4"/>
        </w:numPr>
        <w:spacing w:before="360" w:line="276" w:lineRule="auto"/>
        <w:ind w:left="576" w:hanging="576"/>
        <w:rPr>
          <w:rFonts w:ascii="Cambria" w:eastAsia="Times New Roman" w:hAnsi="Cambria"/>
          <w:b/>
          <w:bCs/>
          <w:color w:val="4F81BD"/>
          <w:sz w:val="28"/>
          <w:szCs w:val="26"/>
          <w:lang w:val="x-none"/>
        </w:rPr>
      </w:pPr>
      <w:bookmarkStart w:id="5" w:name="_Toc54102455"/>
      <w:bookmarkStart w:id="6" w:name="_Toc56760441"/>
      <w:bookmarkStart w:id="7" w:name="_Toc89434718"/>
      <w:bookmarkStart w:id="8" w:name="_Toc109806128"/>
      <w:bookmarkStart w:id="9" w:name="_Toc117786617"/>
      <w:bookmarkStart w:id="10" w:name="_Toc181105674"/>
      <w:bookmarkStart w:id="11" w:name="_Toc54102454"/>
      <w:bookmarkStart w:id="12" w:name="_Toc56760440"/>
      <w:bookmarkStart w:id="13" w:name="_Toc89434717"/>
      <w:bookmarkStart w:id="14" w:name="_Toc109806127"/>
      <w:bookmarkStart w:id="15" w:name="_Toc117786616"/>
      <w:r>
        <w:rPr>
          <w:b/>
          <w:bCs/>
          <w:i/>
          <w:color w:val="4F81BD"/>
          <w:sz w:val="28"/>
          <w:lang w:val="x-none"/>
        </w:rPr>
        <w:t>Zones réglementées au titre de Natura 2000</w:t>
      </w:r>
      <w:bookmarkEnd w:id="5"/>
      <w:bookmarkEnd w:id="6"/>
      <w:bookmarkEnd w:id="7"/>
      <w:bookmarkEnd w:id="8"/>
      <w:bookmarkEnd w:id="9"/>
      <w:bookmarkEnd w:id="10"/>
    </w:p>
    <w:p w14:paraId="10108EF1" w14:textId="77777777" w:rsidR="00D877B2" w:rsidRDefault="00D877B2" w:rsidP="00D877B2">
      <w:pPr>
        <w:spacing w:line="276" w:lineRule="auto"/>
        <w:rPr>
          <w:lang w:val="x-none"/>
        </w:rPr>
      </w:pPr>
      <w:r>
        <w:rPr>
          <w:lang w:val="x-none"/>
        </w:rPr>
        <w:t xml:space="preserve">Le </w:t>
      </w:r>
      <w:r>
        <w:rPr>
          <w:b/>
          <w:bCs/>
          <w:lang w:val="x-none"/>
        </w:rPr>
        <w:t>réseau Natura 2000</w:t>
      </w:r>
      <w:r>
        <w:rPr>
          <w:lang w:val="x-none"/>
        </w:rPr>
        <w:t xml:space="preserve"> regroupe l’ensemble des sites naturels ou semi-naturels protégés à l’échelle européenne, afin de préserver les espèces et les habitats menacés et/ou remarquables </w:t>
      </w:r>
      <w:r>
        <w:t xml:space="preserve">sur les territoires des </w:t>
      </w:r>
      <w:r>
        <w:rPr>
          <w:rFonts w:cs="Calibri"/>
        </w:rPr>
        <w:t>É</w:t>
      </w:r>
      <w:r>
        <w:t>tats membres</w:t>
      </w:r>
      <w:r>
        <w:rPr>
          <w:lang w:val="x-none"/>
        </w:rPr>
        <w:t>. La constitution du réseau Natura 2000 a pour objectif de maintenir la diversité biologique des milieux, tout en tenant compte des exigences économiques, sociales, culturelles et régionales dans une logique de développement durable.</w:t>
      </w:r>
    </w:p>
    <w:p w14:paraId="6648800D" w14:textId="77777777" w:rsidR="00D877B2" w:rsidRDefault="00D877B2" w:rsidP="00D877B2">
      <w:pPr>
        <w:autoSpaceDE w:val="0"/>
        <w:autoSpaceDN w:val="0"/>
        <w:adjustRightInd w:val="0"/>
        <w:spacing w:line="276" w:lineRule="auto"/>
      </w:pPr>
      <w:r>
        <w:t>Le réseau Natura 2000 distingue deux types de zonages réglementaires :</w:t>
      </w:r>
    </w:p>
    <w:p w14:paraId="06655E06" w14:textId="77777777" w:rsidR="00D877B2" w:rsidRDefault="00D877B2" w:rsidP="00D877B2">
      <w:pPr>
        <w:numPr>
          <w:ilvl w:val="0"/>
          <w:numId w:val="5"/>
        </w:numPr>
        <w:autoSpaceDE w:val="0"/>
        <w:autoSpaceDN w:val="0"/>
        <w:adjustRightInd w:val="0"/>
        <w:spacing w:line="276" w:lineRule="auto"/>
      </w:pPr>
      <w:r>
        <w:rPr>
          <w:b/>
          <w:bCs/>
        </w:rPr>
        <w:t>Zones de Protection Spéciale (ZPS)</w:t>
      </w:r>
      <w:r>
        <w:t xml:space="preserve"> : destinées à préserver les espèces d'oiseaux sauvages mentionnées à l'annexe I de la Directive "Oiseaux", ainsi que les sites essentiels pour la reproduction, la mue, l'hivernage ou les haltes migratoires des oiseaux.</w:t>
      </w:r>
    </w:p>
    <w:p w14:paraId="79D4C3D9" w14:textId="77777777" w:rsidR="00D877B2" w:rsidRDefault="00D877B2" w:rsidP="00D877B2">
      <w:pPr>
        <w:numPr>
          <w:ilvl w:val="0"/>
          <w:numId w:val="5"/>
        </w:numPr>
        <w:autoSpaceDE w:val="0"/>
        <w:autoSpaceDN w:val="0"/>
        <w:adjustRightInd w:val="0"/>
        <w:spacing w:line="276" w:lineRule="auto"/>
      </w:pPr>
      <w:r>
        <w:rPr>
          <w:b/>
          <w:bCs/>
        </w:rPr>
        <w:t>Zones Spéciales de Conservation (ZSC)</w:t>
      </w:r>
      <w:r>
        <w:t xml:space="preserve"> : visant à protéger les habitats naturels et les espèces animales et végétales répertoriés aux annexes I et II de la Directive "Habitats".</w:t>
      </w:r>
    </w:p>
    <w:bookmarkEnd w:id="11"/>
    <w:bookmarkEnd w:id="12"/>
    <w:bookmarkEnd w:id="13"/>
    <w:bookmarkEnd w:id="14"/>
    <w:bookmarkEnd w:id="15"/>
    <w:p w14:paraId="726A5A75" w14:textId="77777777" w:rsidR="00D877B2" w:rsidRDefault="00D877B2" w:rsidP="00D877B2">
      <w:pPr>
        <w:spacing w:before="0" w:after="160" w:line="256" w:lineRule="auto"/>
        <w:jc w:val="left"/>
        <w:rPr>
          <w:highlight w:val="yellow"/>
        </w:rPr>
      </w:pPr>
    </w:p>
    <w:p w14:paraId="751D39CE" w14:textId="77777777" w:rsidR="00D877B2" w:rsidRDefault="00D877B2" w:rsidP="00D877B2">
      <w:pPr>
        <w:spacing w:before="0" w:after="160" w:line="256" w:lineRule="auto"/>
        <w:jc w:val="left"/>
        <w:rPr>
          <w:highlight w:val="yellow"/>
        </w:rPr>
      </w:pPr>
      <w:r>
        <w:rPr>
          <w:highlight w:val="yellow"/>
        </w:rPr>
        <w:t>TABLEAU NATURA2000</w:t>
      </w:r>
    </w:p>
    <w:p w14:paraId="7D3F850D" w14:textId="77777777" w:rsidR="00D877B2" w:rsidRDefault="00D877B2" w:rsidP="00D877B2">
      <w:pPr>
        <w:spacing w:before="0" w:after="160" w:line="256" w:lineRule="auto"/>
        <w:jc w:val="left"/>
        <w:rPr>
          <w:highlight w:val="yellow"/>
        </w:rPr>
      </w:pPr>
    </w:p>
    <w:p w14:paraId="08E02F40" w14:textId="77777777" w:rsidR="00D877B2" w:rsidRDefault="00D877B2" w:rsidP="00D877B2">
      <w:pPr>
        <w:spacing w:before="0" w:after="160" w:line="256" w:lineRule="auto"/>
        <w:jc w:val="left"/>
        <w:rPr>
          <w:highlight w:val="yellow"/>
        </w:rPr>
      </w:pPr>
      <w:r>
        <w:rPr>
          <w:highlight w:val="yellow"/>
        </w:rPr>
        <w:t>CARTE NATURA2000</w:t>
      </w:r>
    </w:p>
    <w:p w14:paraId="1B81508A" w14:textId="77777777" w:rsidR="00D877B2" w:rsidRDefault="00D877B2" w:rsidP="00D877B2">
      <w:pPr>
        <w:spacing w:line="276" w:lineRule="auto"/>
        <w:jc w:val="center"/>
      </w:pPr>
      <w:r>
        <w:rPr>
          <w:noProof/>
        </w:rPr>
        <w:t>##MAP##</w:t>
      </w:r>
    </w:p>
    <w:p w14:paraId="4AFB9101" w14:textId="77777777" w:rsidR="00D877B2" w:rsidRDefault="00D877B2" w:rsidP="00D877B2">
      <w:pPr>
        <w:pStyle w:val="Lgende"/>
        <w:spacing w:line="276" w:lineRule="auto"/>
        <w:rPr>
          <w:rFonts w:eastAsia="Times New Roman"/>
          <w:b w:val="0"/>
          <w:lang w:eastAsia="fr-FR"/>
        </w:rPr>
      </w:pPr>
      <w:bookmarkStart w:id="16" w:name="_Toc181105705"/>
      <w:r>
        <w:t xml:space="preserve">Figure </w:t>
      </w:r>
      <w:r>
        <w:fldChar w:fldCharType="begin"/>
      </w:r>
      <w:r>
        <w:instrText xml:space="preserve"> SEQ Figure \* ARABIC </w:instrText>
      </w:r>
      <w:r>
        <w:fldChar w:fldCharType="separate"/>
      </w:r>
      <w:r>
        <w:rPr>
          <w:noProof/>
        </w:rPr>
        <w:t>3</w:t>
      </w:r>
      <w:r>
        <w:rPr>
          <w:noProof/>
        </w:rPr>
        <w:fldChar w:fldCharType="end"/>
      </w:r>
      <w:r>
        <w:t xml:space="preserve"> : Cartographie des sites Natura 2000 au sein de l'aire d'étude élargie (rayon de 5 km)</w:t>
      </w:r>
      <w:bookmarkEnd w:id="16"/>
    </w:p>
    <w:p w14:paraId="2FF6A928" w14:textId="77777777" w:rsidR="00D877B2" w:rsidRDefault="00D877B2" w:rsidP="00D877B2">
      <w:pPr>
        <w:spacing w:before="0" w:after="160" w:line="256" w:lineRule="auto"/>
        <w:jc w:val="left"/>
        <w:rPr>
          <w:highlight w:val="yellow"/>
        </w:rPr>
      </w:pPr>
    </w:p>
    <w:p w14:paraId="6752478F" w14:textId="77777777" w:rsidR="00D877B2" w:rsidRDefault="00D877B2" w:rsidP="00D877B2">
      <w:pPr>
        <w:pStyle w:val="Titre3"/>
        <w:numPr>
          <w:ilvl w:val="1"/>
          <w:numId w:val="4"/>
        </w:numPr>
        <w:tabs>
          <w:tab w:val="num" w:pos="1440"/>
        </w:tabs>
        <w:spacing w:before="360" w:line="276" w:lineRule="auto"/>
        <w:ind w:left="576" w:hanging="576"/>
        <w:rPr>
          <w:b/>
          <w:bCs/>
          <w:color w:val="4F81BD"/>
          <w:sz w:val="28"/>
          <w:lang w:val="x-none"/>
        </w:rPr>
      </w:pPr>
      <w:bookmarkStart w:id="17" w:name="_Toc181105677"/>
      <w:r>
        <w:rPr>
          <w:b/>
          <w:bCs/>
          <w:i/>
          <w:color w:val="4F81BD"/>
          <w:sz w:val="28"/>
          <w:lang w:val="x-none"/>
        </w:rPr>
        <w:lastRenderedPageBreak/>
        <w:t>Zones Naturelles d’Intérêt Écologique, Faunistique et Floristique</w:t>
      </w:r>
      <w:bookmarkEnd w:id="17"/>
    </w:p>
    <w:p w14:paraId="5A902884" w14:textId="77777777" w:rsidR="00D877B2" w:rsidRDefault="00D877B2" w:rsidP="00D877B2">
      <w:pPr>
        <w:spacing w:before="240" w:line="276" w:lineRule="auto"/>
      </w:pPr>
      <w:r>
        <w:t xml:space="preserve">L’inventaire des </w:t>
      </w:r>
      <w:r>
        <w:rPr>
          <w:b/>
        </w:rPr>
        <w:t>Zones Naturelles d’Intérêt Écologique, Faunistique et Floristique (ZNIEFF)</w:t>
      </w:r>
      <w:r>
        <w:t xml:space="preserve"> est un programme d'inventaires naturalistes et scientifiques (initié par la loi du 12 juillet 1983 dite Loi </w:t>
      </w:r>
      <w:proofErr w:type="spellStart"/>
      <w:r>
        <w:t>Bouchardeau</w:t>
      </w:r>
      <w:proofErr w:type="spellEnd"/>
      <w:r>
        <w:t>). Il existe 2 types de ZNIEFF :</w:t>
      </w:r>
    </w:p>
    <w:p w14:paraId="676F3B8C" w14:textId="77777777" w:rsidR="00D877B2" w:rsidRDefault="00D877B2" w:rsidP="00D877B2">
      <w:pPr>
        <w:numPr>
          <w:ilvl w:val="0"/>
          <w:numId w:val="3"/>
        </w:numPr>
        <w:autoSpaceDE w:val="0"/>
        <w:autoSpaceDN w:val="0"/>
        <w:adjustRightInd w:val="0"/>
        <w:spacing w:before="240" w:line="276" w:lineRule="auto"/>
        <w:ind w:left="714" w:hanging="357"/>
      </w:pPr>
      <w:r>
        <w:t xml:space="preserve">Les </w:t>
      </w:r>
      <w:r>
        <w:rPr>
          <w:b/>
        </w:rPr>
        <w:t>ZNIEFF de type I</w:t>
      </w:r>
      <w:r>
        <w:t xml:space="preserve"> représentent un territoire couvrant une ou plusieurs unités écologiques homogènes. Elles abritent au moins une espèce ou un habitat caractéristique remarquable ou rare, justifiant d'une valeur patrimoniale plus élevée que celle du milieu environnant ;</w:t>
      </w:r>
    </w:p>
    <w:p w14:paraId="314C63C5" w14:textId="77777777" w:rsidR="00D877B2" w:rsidRDefault="00D877B2" w:rsidP="00D877B2">
      <w:pPr>
        <w:numPr>
          <w:ilvl w:val="0"/>
          <w:numId w:val="3"/>
        </w:numPr>
        <w:autoSpaceDE w:val="0"/>
        <w:autoSpaceDN w:val="0"/>
        <w:adjustRightInd w:val="0"/>
        <w:spacing w:before="240" w:after="0" w:line="276" w:lineRule="auto"/>
        <w:ind w:left="714" w:hanging="357"/>
      </w:pPr>
      <w:r>
        <w:t xml:space="preserve">Les </w:t>
      </w:r>
      <w:r>
        <w:rPr>
          <w:b/>
        </w:rPr>
        <w:t>ZNIEFF de type II</w:t>
      </w:r>
      <w:r>
        <w:t xml:space="preserve"> représentent un des ensembles géographiques, généralement importants, qui réunissent des milieux naturels formant un ou plusieurs ensembles possédant une cohésion élevée et entretenant de fortes relations entre eux. Elles se distinguent de la moyenne du territoire environnant par son contenu patrimonial plus riche et son artificialisation plus faible.</w:t>
      </w:r>
    </w:p>
    <w:p w14:paraId="5A9C4459" w14:textId="77777777" w:rsidR="00D877B2" w:rsidRDefault="00D877B2" w:rsidP="00D877B2">
      <w:pPr>
        <w:autoSpaceDE w:val="0"/>
        <w:autoSpaceDN w:val="0"/>
        <w:adjustRightInd w:val="0"/>
        <w:spacing w:before="240" w:after="0" w:line="276" w:lineRule="auto"/>
        <w:ind w:left="357"/>
      </w:pPr>
    </w:p>
    <w:p w14:paraId="37F6E49F" w14:textId="77777777" w:rsidR="00D877B2" w:rsidRDefault="00D877B2" w:rsidP="00D877B2">
      <w:pPr>
        <w:autoSpaceDE w:val="0"/>
        <w:autoSpaceDN w:val="0"/>
        <w:adjustRightInd w:val="0"/>
        <w:spacing w:before="240" w:after="0" w:line="276" w:lineRule="auto"/>
        <w:ind w:left="357"/>
        <w:rPr>
          <w:highlight w:val="yellow"/>
        </w:rPr>
      </w:pPr>
      <w:r w:rsidRPr="00837A63">
        <w:rPr>
          <w:highlight w:val="yellow"/>
        </w:rPr>
        <w:t>TABLEAU ZNIEFF</w:t>
      </w:r>
    </w:p>
    <w:p w14:paraId="15AD7CE2" w14:textId="77777777" w:rsidR="00D877B2" w:rsidRDefault="00D877B2" w:rsidP="00D877B2">
      <w:pPr>
        <w:autoSpaceDE w:val="0"/>
        <w:autoSpaceDN w:val="0"/>
        <w:adjustRightInd w:val="0"/>
        <w:spacing w:before="240" w:after="0" w:line="276" w:lineRule="auto"/>
        <w:ind w:left="357"/>
      </w:pPr>
      <w:r w:rsidRPr="00837A63">
        <w:rPr>
          <w:highlight w:val="yellow"/>
        </w:rPr>
        <w:t>CARTE ZNIEFF</w:t>
      </w:r>
    </w:p>
    <w:p w14:paraId="3B9CAAC4" w14:textId="77777777" w:rsidR="00D877B2" w:rsidRDefault="00D877B2" w:rsidP="00D877B2">
      <w:pPr>
        <w:spacing w:line="276" w:lineRule="auto"/>
      </w:pPr>
      <w:r>
        <w:t>La carte ci-dessous précise la localisation des zonages ZNIEFF à proximité de la zone d’étude :</w:t>
      </w:r>
    </w:p>
    <w:p w14:paraId="044FF1AE" w14:textId="77777777" w:rsidR="00D877B2" w:rsidRDefault="00D877B2" w:rsidP="00D877B2">
      <w:pPr>
        <w:pStyle w:val="Lgende"/>
        <w:spacing w:line="276" w:lineRule="auto"/>
      </w:pPr>
      <w:bookmarkStart w:id="18" w:name="_Toc157525429"/>
      <w:bookmarkStart w:id="19" w:name="_Toc179299520"/>
      <w:bookmarkStart w:id="20" w:name="_Toc181105706"/>
      <w:r>
        <w:t xml:space="preserve">Figure </w:t>
      </w:r>
      <w:r>
        <w:fldChar w:fldCharType="begin"/>
      </w:r>
      <w:r>
        <w:instrText xml:space="preserve"> SEQ Figure \* ARABIC </w:instrText>
      </w:r>
      <w:r>
        <w:fldChar w:fldCharType="separate"/>
      </w:r>
      <w:r>
        <w:rPr>
          <w:noProof/>
        </w:rPr>
        <w:t>4</w:t>
      </w:r>
      <w:r>
        <w:rPr>
          <w:noProof/>
        </w:rPr>
        <w:fldChar w:fldCharType="end"/>
      </w:r>
      <w:r>
        <w:t xml:space="preserve"> : Localisation des zonages ZNIEFF à proximité de la zone d'étude</w:t>
      </w:r>
      <w:bookmarkEnd w:id="18"/>
      <w:bookmarkEnd w:id="19"/>
      <w:bookmarkEnd w:id="20"/>
    </w:p>
    <w:p w14:paraId="09F756D6" w14:textId="77777777" w:rsidR="00D877B2" w:rsidRDefault="00D877B2" w:rsidP="00D877B2">
      <w:pPr>
        <w:autoSpaceDE w:val="0"/>
        <w:autoSpaceDN w:val="0"/>
        <w:adjustRightInd w:val="0"/>
        <w:spacing w:before="240" w:after="0" w:line="276" w:lineRule="auto"/>
        <w:ind w:left="357"/>
      </w:pPr>
    </w:p>
    <w:p w14:paraId="70CB132D" w14:textId="77777777" w:rsidR="00D877B2" w:rsidRDefault="00D877B2" w:rsidP="00D877B2">
      <w:pPr>
        <w:autoSpaceDE w:val="0"/>
        <w:autoSpaceDN w:val="0"/>
        <w:adjustRightInd w:val="0"/>
        <w:spacing w:before="240" w:after="0" w:line="276" w:lineRule="auto"/>
        <w:ind w:left="357"/>
      </w:pPr>
    </w:p>
    <w:p w14:paraId="3192C9E0" w14:textId="77777777" w:rsidR="00D877B2" w:rsidRDefault="00D877B2" w:rsidP="00D877B2">
      <w:pPr>
        <w:pStyle w:val="Titre3"/>
        <w:numPr>
          <w:ilvl w:val="1"/>
          <w:numId w:val="4"/>
        </w:numPr>
        <w:spacing w:before="360" w:line="276" w:lineRule="auto"/>
        <w:ind w:left="576" w:hanging="576"/>
        <w:rPr>
          <w:b/>
          <w:bCs/>
          <w:color w:val="4F81BD"/>
          <w:sz w:val="28"/>
          <w:lang w:val="x-none"/>
        </w:rPr>
      </w:pPr>
      <w:bookmarkStart w:id="21" w:name="_Toc181105680"/>
      <w:r>
        <w:rPr>
          <w:b/>
          <w:bCs/>
          <w:i/>
          <w:color w:val="4F81BD"/>
          <w:sz w:val="28"/>
          <w:lang w:val="x-none"/>
        </w:rPr>
        <w:t>Arrêté préfectoral de protection de biotope</w:t>
      </w:r>
      <w:bookmarkEnd w:id="21"/>
    </w:p>
    <w:p w14:paraId="67575337" w14:textId="77777777" w:rsidR="00D877B2" w:rsidRDefault="00D877B2" w:rsidP="00D877B2">
      <w:pPr>
        <w:autoSpaceDE w:val="0"/>
        <w:autoSpaceDN w:val="0"/>
        <w:adjustRightInd w:val="0"/>
        <w:spacing w:before="180" w:line="276" w:lineRule="auto"/>
        <w:rPr>
          <w:rFonts w:eastAsia="Times New Roman"/>
          <w:lang w:eastAsia="fr-FR"/>
        </w:rPr>
      </w:pPr>
      <w:r>
        <w:rPr>
          <w:rFonts w:eastAsia="Times New Roman"/>
          <w:lang w:eastAsia="fr-FR"/>
        </w:rPr>
        <w:t xml:space="preserve">Les </w:t>
      </w:r>
      <w:r>
        <w:rPr>
          <w:rFonts w:eastAsia="Times New Roman"/>
          <w:b/>
          <w:lang w:eastAsia="fr-FR"/>
        </w:rPr>
        <w:t>arrêtés préfectoraux de protection de biotope</w:t>
      </w:r>
      <w:r>
        <w:rPr>
          <w:rFonts w:eastAsia="Times New Roman"/>
          <w:lang w:eastAsia="fr-FR"/>
        </w:rPr>
        <w:t xml:space="preserve"> </w:t>
      </w:r>
      <w:r>
        <w:rPr>
          <w:rFonts w:eastAsia="Times New Roman"/>
          <w:b/>
          <w:lang w:eastAsia="fr-FR"/>
        </w:rPr>
        <w:t>(APPB)</w:t>
      </w:r>
      <w:r>
        <w:rPr>
          <w:rFonts w:eastAsia="Times New Roman"/>
          <w:lang w:eastAsia="fr-FR"/>
        </w:rPr>
        <w:t xml:space="preserve"> sont régis par les articles L.411-1 et 2 du Code de l’Environnement et par la circulaire du 27 juillet 1990 relative à la protection des biotopes nécessaires aux espèces protégées. Les APPB permettent aux préfets de département de fixer les mesures tendant à favoriser, sur tout ou partie du territoire, la conservation des biotopes nécessaires à l’alimentation, à la reproduction, au repos ou à la survie d’espèces protégées. </w:t>
      </w:r>
    </w:p>
    <w:p w14:paraId="1C2051B4" w14:textId="77777777" w:rsidR="00D877B2" w:rsidRDefault="00D877B2" w:rsidP="00D877B2">
      <w:pPr>
        <w:autoSpaceDE w:val="0"/>
        <w:autoSpaceDN w:val="0"/>
        <w:adjustRightInd w:val="0"/>
        <w:spacing w:before="180" w:line="276" w:lineRule="auto"/>
        <w:rPr>
          <w:rFonts w:eastAsia="Times New Roman"/>
          <w:lang w:eastAsia="fr-FR"/>
        </w:rPr>
      </w:pPr>
      <w:r>
        <w:rPr>
          <w:rFonts w:eastAsia="Times New Roman"/>
          <w:lang w:eastAsia="fr-FR"/>
        </w:rPr>
        <w:t>Sachant qu’un biotope est une aire géographique bien délimitée, caractérisée par des conditions particulières (géologiques, hydrologiques, climatiques …) et que le biotope d’une espèce peut être constitué par un lieu artificiel (combles des églises, carrières…) s’il est indispensable à sa survie. Ainsi, ils peuvent être des mares, des marécages, des marais, des haies, des bosquets, des landes, des dunes, des pelouses ou toutes autres formations naturelles peu exploitées par l’homme.</w:t>
      </w:r>
    </w:p>
    <w:p w14:paraId="1EEB2F60" w14:textId="77777777" w:rsidR="00D877B2" w:rsidRPr="00D72734" w:rsidRDefault="00D877B2" w:rsidP="00D877B2">
      <w:pPr>
        <w:autoSpaceDE w:val="0"/>
        <w:autoSpaceDN w:val="0"/>
        <w:adjustRightInd w:val="0"/>
        <w:spacing w:before="180" w:line="276" w:lineRule="auto"/>
        <w:jc w:val="center"/>
        <w:rPr>
          <w:b/>
          <w:bCs/>
        </w:rPr>
      </w:pPr>
      <w:r w:rsidRPr="00D72734">
        <w:rPr>
          <w:b/>
          <w:bCs/>
        </w:rPr>
        <w:t xml:space="preserve">TABLEAU </w:t>
      </w:r>
      <w:r>
        <w:rPr>
          <w:b/>
          <w:bCs/>
        </w:rPr>
        <w:t>APPB</w:t>
      </w:r>
    </w:p>
    <w:p w14:paraId="3F852634" w14:textId="77777777" w:rsidR="00D877B2" w:rsidRDefault="00D877B2" w:rsidP="00D877B2">
      <w:pPr>
        <w:autoSpaceDE w:val="0"/>
        <w:autoSpaceDN w:val="0"/>
        <w:adjustRightInd w:val="0"/>
        <w:spacing w:before="180" w:line="276" w:lineRule="auto"/>
        <w:jc w:val="center"/>
        <w:rPr>
          <w:b/>
          <w:bCs/>
        </w:rPr>
      </w:pPr>
      <w:r w:rsidRPr="00D72734">
        <w:rPr>
          <w:b/>
          <w:bCs/>
        </w:rPr>
        <w:t xml:space="preserve">CARTE </w:t>
      </w:r>
      <w:r>
        <w:rPr>
          <w:b/>
          <w:bCs/>
        </w:rPr>
        <w:t>APPB</w:t>
      </w:r>
    </w:p>
    <w:p w14:paraId="721778CC" w14:textId="77777777" w:rsidR="00D877B2" w:rsidRPr="00F75326" w:rsidRDefault="00D877B2" w:rsidP="00D877B2">
      <w:pPr>
        <w:autoSpaceDE w:val="0"/>
        <w:autoSpaceDN w:val="0"/>
        <w:adjustRightInd w:val="0"/>
        <w:spacing w:before="180" w:line="276" w:lineRule="auto"/>
        <w:jc w:val="center"/>
      </w:pPr>
      <w:r w:rsidRPr="00F75326">
        <w:t>##MAP##</w:t>
      </w:r>
    </w:p>
    <w:p w14:paraId="09821722" w14:textId="77777777" w:rsidR="00D877B2" w:rsidRDefault="00D877B2" w:rsidP="00D877B2">
      <w:pPr>
        <w:pStyle w:val="Lgende"/>
        <w:rPr>
          <w:b w:val="0"/>
          <w:bCs w:val="0"/>
        </w:rPr>
      </w:pPr>
      <w:r>
        <w:lastRenderedPageBreak/>
        <w:t xml:space="preserve">Figure </w:t>
      </w:r>
      <w:r>
        <w:fldChar w:fldCharType="begin"/>
      </w:r>
      <w:r>
        <w:instrText xml:space="preserve"> SEQ Figure \* ARABIC </w:instrText>
      </w:r>
      <w:r>
        <w:fldChar w:fldCharType="separate"/>
      </w:r>
      <w:r>
        <w:rPr>
          <w:noProof/>
        </w:rPr>
        <w:t>1</w:t>
      </w:r>
      <w:r>
        <w:rPr>
          <w:noProof/>
        </w:rPr>
        <w:fldChar w:fldCharType="end"/>
      </w:r>
      <w:r>
        <w:t xml:space="preserve"> : Cartographie des APPB au sein de l'aire d'étude élargie</w:t>
      </w:r>
    </w:p>
    <w:p w14:paraId="5EBE31EA" w14:textId="77777777" w:rsidR="00D877B2" w:rsidRDefault="00D877B2" w:rsidP="00D877B2">
      <w:pPr>
        <w:autoSpaceDE w:val="0"/>
        <w:autoSpaceDN w:val="0"/>
        <w:adjustRightInd w:val="0"/>
        <w:spacing w:before="180" w:line="276" w:lineRule="auto"/>
        <w:jc w:val="center"/>
        <w:rPr>
          <w:b/>
          <w:bCs/>
        </w:rPr>
      </w:pPr>
    </w:p>
    <w:p w14:paraId="39AB9178" w14:textId="77777777" w:rsidR="00D877B2" w:rsidRDefault="00D877B2" w:rsidP="00D877B2">
      <w:pPr>
        <w:autoSpaceDE w:val="0"/>
        <w:autoSpaceDN w:val="0"/>
        <w:adjustRightInd w:val="0"/>
        <w:spacing w:before="240" w:after="0" w:line="276" w:lineRule="auto"/>
        <w:ind w:left="357"/>
      </w:pPr>
    </w:p>
    <w:p w14:paraId="70A6B836" w14:textId="77777777" w:rsidR="00D877B2" w:rsidRDefault="00D877B2" w:rsidP="00D877B2">
      <w:pPr>
        <w:pStyle w:val="Titre3"/>
        <w:numPr>
          <w:ilvl w:val="1"/>
          <w:numId w:val="4"/>
        </w:numPr>
        <w:spacing w:before="360" w:line="276" w:lineRule="auto"/>
        <w:ind w:left="576" w:hanging="576"/>
        <w:rPr>
          <w:b/>
          <w:bCs/>
          <w:color w:val="4F81BD"/>
          <w:sz w:val="28"/>
          <w:lang w:val="x-none"/>
        </w:rPr>
      </w:pPr>
      <w:r>
        <w:rPr>
          <w:b/>
          <w:bCs/>
          <w:i/>
          <w:color w:val="4F81BD"/>
          <w:sz w:val="28"/>
        </w:rPr>
        <w:t>Espace naturel sensible</w:t>
      </w:r>
    </w:p>
    <w:p w14:paraId="46F5D359" w14:textId="77777777" w:rsidR="00D877B2" w:rsidRDefault="00D877B2" w:rsidP="00D877B2">
      <w:pPr>
        <w:pStyle w:val="Paragraphedeliste"/>
        <w:autoSpaceDE w:val="0"/>
        <w:autoSpaceDN w:val="0"/>
        <w:adjustRightInd w:val="0"/>
        <w:spacing w:before="180" w:line="276" w:lineRule="auto"/>
        <w:ind w:left="0"/>
        <w:rPr>
          <w:bCs/>
        </w:rPr>
      </w:pPr>
      <w:r w:rsidRPr="006833F4">
        <w:rPr>
          <w:bCs/>
        </w:rPr>
        <w:t>Les Espaces Naturels Sensibles (ENS) constituent un outil essentiel pour la préservation de la biodiversité, des paysages et des milieux naturels à fort intérêt écologique. Institués par les départements, ils visent à protéger des zones vulnérables aux pressions anthropiques telles que l'urbanisation ou l'intensification des activités économiques. Outre leur rôle de conservation, les ENS permettent également de gérer les champs naturels d’expansion des crues, jouant ainsi un rôle majeur dans la prévention des risques d'inondation.</w:t>
      </w:r>
    </w:p>
    <w:p w14:paraId="5FB9CE2E" w14:textId="77777777" w:rsidR="00D877B2" w:rsidRDefault="00D877B2" w:rsidP="00D877B2">
      <w:pPr>
        <w:pStyle w:val="Paragraphedeliste"/>
        <w:autoSpaceDE w:val="0"/>
        <w:autoSpaceDN w:val="0"/>
        <w:adjustRightInd w:val="0"/>
        <w:spacing w:before="180" w:line="276" w:lineRule="auto"/>
        <w:ind w:left="0"/>
        <w:rPr>
          <w:bCs/>
        </w:rPr>
      </w:pPr>
    </w:p>
    <w:p w14:paraId="7627942C" w14:textId="77777777" w:rsidR="00D877B2" w:rsidRPr="006833F4" w:rsidRDefault="00D877B2" w:rsidP="00D877B2">
      <w:pPr>
        <w:pStyle w:val="Paragraphedeliste"/>
        <w:autoSpaceDE w:val="0"/>
        <w:autoSpaceDN w:val="0"/>
        <w:adjustRightInd w:val="0"/>
        <w:spacing w:before="180" w:line="276" w:lineRule="auto"/>
        <w:ind w:left="0"/>
        <w:rPr>
          <w:bCs/>
        </w:rPr>
      </w:pPr>
      <w:r w:rsidRPr="006833F4">
        <w:rPr>
          <w:bCs/>
        </w:rPr>
        <w:t>Le cadre réglementaire qui régit les ENS repose principalement sur le code de l’urbanisme, en particulier les articles L. 113-8 à L. 113-14. Les départements disposent d’un droit de préemption pour acquérir des terrains situés dans des zones ENS, leur permettant de maîtriser le foncier afin de préserver ces espaces et d’y limiter les constructions. Ce droit de préemption, qui peut s'appliquer à des terrains bâtis sous certaines conditions, s'accompagne d'une obligation d'aménager les sites pour les rendre accessibles au public, sauf lorsque la fragilité des milieux justifie des restrictions.</w:t>
      </w:r>
    </w:p>
    <w:p w14:paraId="676C578A" w14:textId="77777777" w:rsidR="00D877B2" w:rsidRPr="00070D53" w:rsidRDefault="00D877B2" w:rsidP="00D877B2">
      <w:pPr>
        <w:autoSpaceDE w:val="0"/>
        <w:autoSpaceDN w:val="0"/>
        <w:adjustRightInd w:val="0"/>
        <w:spacing w:before="180" w:line="276" w:lineRule="auto"/>
        <w:jc w:val="center"/>
        <w:rPr>
          <w:b/>
          <w:bCs/>
        </w:rPr>
      </w:pPr>
      <w:r w:rsidRPr="00070D53">
        <w:rPr>
          <w:b/>
          <w:bCs/>
        </w:rPr>
        <w:t xml:space="preserve">TABLEAU </w:t>
      </w:r>
      <w:r>
        <w:rPr>
          <w:b/>
          <w:bCs/>
        </w:rPr>
        <w:t>ENS</w:t>
      </w:r>
    </w:p>
    <w:p w14:paraId="42673734" w14:textId="77777777" w:rsidR="00D877B2" w:rsidRDefault="00D877B2" w:rsidP="00D877B2">
      <w:pPr>
        <w:autoSpaceDE w:val="0"/>
        <w:autoSpaceDN w:val="0"/>
        <w:adjustRightInd w:val="0"/>
        <w:spacing w:before="180" w:line="276" w:lineRule="auto"/>
        <w:jc w:val="center"/>
        <w:rPr>
          <w:b/>
          <w:bCs/>
        </w:rPr>
      </w:pPr>
      <w:r w:rsidRPr="00070D53">
        <w:rPr>
          <w:b/>
          <w:bCs/>
        </w:rPr>
        <w:t xml:space="preserve">CARTE </w:t>
      </w:r>
      <w:r>
        <w:rPr>
          <w:b/>
          <w:bCs/>
        </w:rPr>
        <w:t>ENS</w:t>
      </w:r>
    </w:p>
    <w:p w14:paraId="0CBD9937" w14:textId="77777777" w:rsidR="00D877B2" w:rsidRDefault="00D877B2" w:rsidP="00D877B2">
      <w:pPr>
        <w:autoSpaceDE w:val="0"/>
        <w:autoSpaceDN w:val="0"/>
        <w:adjustRightInd w:val="0"/>
        <w:spacing w:before="180" w:line="276" w:lineRule="auto"/>
        <w:jc w:val="center"/>
        <w:rPr>
          <w:b/>
          <w:bCs/>
        </w:rPr>
      </w:pPr>
    </w:p>
    <w:p w14:paraId="60AB85DB" w14:textId="77777777" w:rsidR="00D877B2" w:rsidRDefault="00D877B2" w:rsidP="00D877B2">
      <w:pPr>
        <w:spacing w:line="276" w:lineRule="auto"/>
        <w:jc w:val="center"/>
      </w:pPr>
      <w:r>
        <w:rPr>
          <w:noProof/>
        </w:rPr>
        <w:t>##MAP##</w:t>
      </w:r>
    </w:p>
    <w:p w14:paraId="2F3B0936" w14:textId="77777777" w:rsidR="00D877B2" w:rsidRPr="004776F7" w:rsidRDefault="00D877B2" w:rsidP="00D877B2">
      <w:pPr>
        <w:pStyle w:val="Lgende"/>
        <w:rPr>
          <w:b w:val="0"/>
          <w:bCs w:val="0"/>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 Localisation des espaces naturels sensibles à proximité de la zone d'étude</w:t>
      </w:r>
    </w:p>
    <w:p w14:paraId="06DD309E" w14:textId="77777777" w:rsidR="00D877B2" w:rsidRDefault="00D877B2" w:rsidP="00D877B2">
      <w:pPr>
        <w:autoSpaceDE w:val="0"/>
        <w:autoSpaceDN w:val="0"/>
        <w:adjustRightInd w:val="0"/>
        <w:spacing w:before="180" w:line="276" w:lineRule="auto"/>
        <w:jc w:val="center"/>
        <w:rPr>
          <w:b/>
          <w:bCs/>
        </w:rPr>
      </w:pPr>
    </w:p>
    <w:p w14:paraId="11926DAC" w14:textId="39860B8B" w:rsidR="00094CD4" w:rsidRPr="00D877B2" w:rsidRDefault="00094CD4" w:rsidP="00094CD4">
      <w:pPr>
        <w:spacing w:before="0" w:after="160" w:line="256" w:lineRule="auto"/>
        <w:jc w:val="left"/>
        <w:rPr>
          <w:i/>
          <w:color w:val="4F81BD"/>
          <w:sz w:val="28"/>
        </w:rPr>
      </w:pPr>
    </w:p>
    <w:p w14:paraId="2D06C0B6" w14:textId="77777777" w:rsidR="00D877B2" w:rsidRDefault="00D877B2" w:rsidP="00D877B2">
      <w:pPr>
        <w:pStyle w:val="Titre3"/>
        <w:numPr>
          <w:ilvl w:val="1"/>
          <w:numId w:val="4"/>
        </w:numPr>
        <w:spacing w:before="360" w:line="276" w:lineRule="auto"/>
        <w:ind w:left="576" w:hanging="576"/>
        <w:rPr>
          <w:b/>
          <w:bCs/>
          <w:color w:val="4F81BD"/>
          <w:sz w:val="28"/>
          <w:lang w:val="x-none"/>
        </w:rPr>
      </w:pPr>
      <w:bookmarkStart w:id="22" w:name="_Toc109806125"/>
      <w:bookmarkStart w:id="23" w:name="_Toc117786614"/>
      <w:bookmarkStart w:id="24" w:name="_Toc181105681"/>
      <w:r>
        <w:rPr>
          <w:b/>
          <w:bCs/>
          <w:i/>
          <w:color w:val="4F81BD"/>
          <w:sz w:val="28"/>
          <w:lang w:val="x-none"/>
        </w:rPr>
        <w:t>Parcs naturels</w:t>
      </w:r>
      <w:bookmarkEnd w:id="22"/>
      <w:bookmarkEnd w:id="23"/>
      <w:bookmarkEnd w:id="24"/>
      <w:r>
        <w:rPr>
          <w:b/>
          <w:bCs/>
          <w:i/>
          <w:color w:val="4F81BD"/>
          <w:sz w:val="28"/>
          <w:lang w:val="x-none"/>
        </w:rPr>
        <w:t xml:space="preserve"> </w:t>
      </w:r>
    </w:p>
    <w:p w14:paraId="771BDF17" w14:textId="77777777" w:rsidR="00D877B2" w:rsidRDefault="00D877B2" w:rsidP="00D877B2">
      <w:pPr>
        <w:autoSpaceDE w:val="0"/>
        <w:autoSpaceDN w:val="0"/>
        <w:adjustRightInd w:val="0"/>
        <w:spacing w:before="180" w:line="276" w:lineRule="auto"/>
        <w:rPr>
          <w:rFonts w:cs="Calibri"/>
        </w:rPr>
      </w:pPr>
      <w:r>
        <w:rPr>
          <w:rFonts w:cs="Calibri"/>
        </w:rPr>
        <w:t xml:space="preserve">Les </w:t>
      </w:r>
      <w:r>
        <w:rPr>
          <w:rFonts w:cs="Calibri"/>
          <w:b/>
          <w:bCs/>
        </w:rPr>
        <w:t>parcs naturels nationaux et régionaux</w:t>
      </w:r>
      <w:r>
        <w:rPr>
          <w:rFonts w:cs="Calibri"/>
        </w:rPr>
        <w:t xml:space="preserve"> sont créés respectivement par des établissements publics pour les deux premiers et également par une collectivité territoriale en ce qui concerne les seconds. Pour chacun des types de parcs, le classement est appliqué suite à un décret. </w:t>
      </w:r>
    </w:p>
    <w:p w14:paraId="034A7D2B" w14:textId="77777777" w:rsidR="00D877B2" w:rsidRDefault="00D877B2" w:rsidP="00D877B2">
      <w:pPr>
        <w:autoSpaceDE w:val="0"/>
        <w:autoSpaceDN w:val="0"/>
        <w:adjustRightInd w:val="0"/>
        <w:spacing w:before="180" w:line="276" w:lineRule="auto"/>
        <w:rPr>
          <w:rFonts w:cs="Calibri"/>
        </w:rPr>
      </w:pPr>
      <w:r>
        <w:rPr>
          <w:rFonts w:cs="Calibri"/>
        </w:rPr>
        <w:t>Les Parcs naturels nationaux (PNN) ont pour objectif de protéger les écosystèmes (la faune, la flore et les habitats) terrestres et marins, mais également le patrimoine culturel et paysager. Ils possèdent deux secteurs différents, une zone de cœur permettant de protéger le patrimoine naturel de façon forte et d’encadrer strictement les activités humaines. La zone périphérique ou aire d’adhésion permet quant à elle d’appuyer la protection de la zone de cœur en faisant adhérer les communes volontaires à la charte du parc ayant une politique de développement durable.</w:t>
      </w:r>
    </w:p>
    <w:p w14:paraId="5BB0839B" w14:textId="77777777" w:rsidR="00D877B2" w:rsidRDefault="00D877B2" w:rsidP="00D877B2">
      <w:pPr>
        <w:autoSpaceDE w:val="0"/>
        <w:autoSpaceDN w:val="0"/>
        <w:adjustRightInd w:val="0"/>
        <w:spacing w:before="180" w:line="276" w:lineRule="auto"/>
        <w:rPr>
          <w:rFonts w:cs="Calibri"/>
        </w:rPr>
      </w:pPr>
    </w:p>
    <w:p w14:paraId="1DB5B8DD" w14:textId="77777777" w:rsidR="00D877B2" w:rsidRPr="00C84583" w:rsidRDefault="00D877B2" w:rsidP="00D877B2">
      <w:pPr>
        <w:autoSpaceDE w:val="0"/>
        <w:autoSpaceDN w:val="0"/>
        <w:adjustRightInd w:val="0"/>
        <w:spacing w:before="180" w:line="276" w:lineRule="auto"/>
        <w:rPr>
          <w:rFonts w:cs="Calibri"/>
          <w:highlight w:val="yellow"/>
        </w:rPr>
      </w:pPr>
      <w:r w:rsidRPr="00C84583">
        <w:rPr>
          <w:rFonts w:cs="Calibri"/>
          <w:highlight w:val="yellow"/>
        </w:rPr>
        <w:lastRenderedPageBreak/>
        <w:t xml:space="preserve">TABLEAU </w:t>
      </w:r>
      <w:r>
        <w:rPr>
          <w:rFonts w:cs="Calibri"/>
          <w:highlight w:val="yellow"/>
        </w:rPr>
        <w:t>PNN</w:t>
      </w:r>
    </w:p>
    <w:p w14:paraId="5F81C1D0" w14:textId="77777777" w:rsidR="00D877B2" w:rsidRDefault="00D877B2" w:rsidP="00D877B2">
      <w:pPr>
        <w:autoSpaceDE w:val="0"/>
        <w:autoSpaceDN w:val="0"/>
        <w:adjustRightInd w:val="0"/>
        <w:spacing w:before="180" w:line="276" w:lineRule="auto"/>
        <w:rPr>
          <w:rFonts w:cs="Calibri"/>
        </w:rPr>
      </w:pPr>
      <w:r w:rsidRPr="002049EE">
        <w:rPr>
          <w:rFonts w:cs="Calibri"/>
          <w:highlight w:val="yellow"/>
        </w:rPr>
        <w:t>CARTE PNN</w:t>
      </w:r>
    </w:p>
    <w:p w14:paraId="0FF52600" w14:textId="77777777" w:rsidR="00D877B2" w:rsidRDefault="00D877B2" w:rsidP="00D877B2">
      <w:pPr>
        <w:autoSpaceDE w:val="0"/>
        <w:autoSpaceDN w:val="0"/>
        <w:adjustRightInd w:val="0"/>
        <w:spacing w:before="180" w:line="276" w:lineRule="auto"/>
        <w:rPr>
          <w:rFonts w:cs="Calibri"/>
        </w:rPr>
      </w:pPr>
    </w:p>
    <w:p w14:paraId="4ABF94E2" w14:textId="77777777" w:rsidR="00D877B2" w:rsidRDefault="00D877B2" w:rsidP="00D877B2">
      <w:pPr>
        <w:autoSpaceDE w:val="0"/>
        <w:autoSpaceDN w:val="0"/>
        <w:adjustRightInd w:val="0"/>
        <w:spacing w:before="180" w:line="276" w:lineRule="auto"/>
        <w:rPr>
          <w:rFonts w:cs="Calibri"/>
        </w:rPr>
      </w:pPr>
      <w:r>
        <w:rPr>
          <w:rFonts w:cs="Calibri"/>
        </w:rPr>
        <w:t>Les parcs naturels régionaux (PNR) ont quant à eux un objectif de préservation du patrimoine naturel, culturel et paysager. En effet, la conciliation des acteurs locaux autour d’un projet de protection et de mise en valeur du patrimoine avec le développement local est un élément important des objectifs du parc (Source : UICN France, 2013).</w:t>
      </w:r>
    </w:p>
    <w:p w14:paraId="32BF757F" w14:textId="77777777" w:rsidR="00D877B2" w:rsidRDefault="00D877B2" w:rsidP="00D877B2">
      <w:pPr>
        <w:autoSpaceDE w:val="0"/>
        <w:autoSpaceDN w:val="0"/>
        <w:adjustRightInd w:val="0"/>
        <w:spacing w:before="180" w:line="276" w:lineRule="auto"/>
        <w:rPr>
          <w:rFonts w:cs="Calibri"/>
        </w:rPr>
      </w:pPr>
    </w:p>
    <w:p w14:paraId="760B6957" w14:textId="77777777" w:rsidR="00D877B2" w:rsidRPr="00C84583" w:rsidRDefault="00D877B2" w:rsidP="00D877B2">
      <w:pPr>
        <w:autoSpaceDE w:val="0"/>
        <w:autoSpaceDN w:val="0"/>
        <w:adjustRightInd w:val="0"/>
        <w:spacing w:before="180" w:line="276" w:lineRule="auto"/>
        <w:rPr>
          <w:rFonts w:cs="Calibri"/>
          <w:highlight w:val="yellow"/>
        </w:rPr>
      </w:pPr>
      <w:r w:rsidRPr="00C84583">
        <w:rPr>
          <w:rFonts w:cs="Calibri"/>
          <w:highlight w:val="yellow"/>
        </w:rPr>
        <w:t xml:space="preserve">TABLEAU </w:t>
      </w:r>
      <w:r>
        <w:rPr>
          <w:rFonts w:cs="Calibri"/>
          <w:highlight w:val="yellow"/>
        </w:rPr>
        <w:t>PRR</w:t>
      </w:r>
    </w:p>
    <w:p w14:paraId="2ED53780" w14:textId="77777777" w:rsidR="00D877B2" w:rsidRDefault="00D877B2" w:rsidP="00D877B2">
      <w:pPr>
        <w:autoSpaceDE w:val="0"/>
        <w:autoSpaceDN w:val="0"/>
        <w:adjustRightInd w:val="0"/>
        <w:spacing w:before="180" w:line="276" w:lineRule="auto"/>
        <w:rPr>
          <w:rFonts w:cs="Calibri"/>
        </w:rPr>
      </w:pPr>
      <w:r w:rsidRPr="002049EE">
        <w:rPr>
          <w:rFonts w:cs="Calibri"/>
          <w:highlight w:val="yellow"/>
        </w:rPr>
        <w:t xml:space="preserve">CARTE </w:t>
      </w:r>
      <w:r>
        <w:rPr>
          <w:rFonts w:cs="Calibri"/>
          <w:highlight w:val="yellow"/>
        </w:rPr>
        <w:t>PRR</w:t>
      </w:r>
    </w:p>
    <w:p w14:paraId="6AD2D791" w14:textId="77777777" w:rsidR="000F5181" w:rsidRDefault="000F5181" w:rsidP="000F5181">
      <w:pPr>
        <w:spacing w:line="276" w:lineRule="auto"/>
        <w:jc w:val="center"/>
      </w:pPr>
      <w:r>
        <w:rPr>
          <w:noProof/>
        </w:rPr>
        <w:t>##MAP##</w:t>
      </w:r>
    </w:p>
    <w:p w14:paraId="35A4BECD" w14:textId="77777777" w:rsidR="000F5181" w:rsidRPr="007C7090" w:rsidRDefault="000F5181" w:rsidP="000F5181">
      <w:pPr>
        <w:pStyle w:val="Lgende"/>
        <w:rPr>
          <w:b w:val="0"/>
          <w:color w:val="FF0000"/>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 Localis</w:t>
      </w:r>
      <w:r>
        <w:rPr>
          <w:noProof/>
        </w:rPr>
        <w:t>ation des Parc naturels à proximité de la zone d'étude</w:t>
      </w:r>
    </w:p>
    <w:p w14:paraId="44BEFDF2" w14:textId="77777777" w:rsidR="00D877B2" w:rsidRDefault="00D877B2" w:rsidP="00D877B2">
      <w:pPr>
        <w:autoSpaceDE w:val="0"/>
        <w:autoSpaceDN w:val="0"/>
        <w:adjustRightInd w:val="0"/>
        <w:spacing w:before="180" w:line="276" w:lineRule="auto"/>
        <w:rPr>
          <w:rFonts w:cs="Calibri"/>
        </w:rPr>
      </w:pPr>
    </w:p>
    <w:p w14:paraId="614ED80B" w14:textId="77777777" w:rsidR="000F5181" w:rsidRPr="00DF4EFD" w:rsidRDefault="000F5181" w:rsidP="000F5181">
      <w:pPr>
        <w:pStyle w:val="Titre3"/>
        <w:numPr>
          <w:ilvl w:val="1"/>
          <w:numId w:val="4"/>
        </w:numPr>
        <w:autoSpaceDE w:val="0"/>
        <w:autoSpaceDN w:val="0"/>
        <w:adjustRightInd w:val="0"/>
        <w:spacing w:before="180" w:line="276" w:lineRule="auto"/>
        <w:ind w:left="576" w:hanging="576"/>
        <w:rPr>
          <w:rFonts w:ascii="Calibri" w:hAnsi="Calibri" w:cs="Calibri"/>
          <w:b/>
          <w:bCs/>
          <w:iCs/>
          <w:color w:val="4F81BD"/>
          <w:sz w:val="22"/>
        </w:rPr>
      </w:pPr>
      <w:bookmarkStart w:id="25" w:name="_Toc181105683"/>
      <w:r>
        <w:rPr>
          <w:rFonts w:ascii="Calibri" w:hAnsi="Calibri" w:cs="Calibri"/>
          <w:b/>
          <w:bCs/>
          <w:i/>
          <w:iCs/>
          <w:color w:val="4F81BD"/>
          <w:sz w:val="22"/>
        </w:rPr>
        <w:t xml:space="preserve">Pelouses </w:t>
      </w:r>
      <w:bookmarkEnd w:id="25"/>
      <w:r>
        <w:rPr>
          <w:rFonts w:ascii="Calibri" w:hAnsi="Calibri" w:cs="Calibri"/>
          <w:b/>
          <w:bCs/>
          <w:i/>
          <w:iCs/>
          <w:color w:val="4F81BD"/>
          <w:sz w:val="22"/>
        </w:rPr>
        <w:t>sèches</w:t>
      </w:r>
    </w:p>
    <w:p w14:paraId="28C3131C" w14:textId="77777777" w:rsidR="000F5181" w:rsidRPr="00DF4EFD" w:rsidRDefault="000F5181" w:rsidP="000F5181">
      <w:pPr>
        <w:pStyle w:val="Paragraphedeliste"/>
        <w:spacing w:before="100" w:beforeAutospacing="1" w:after="100" w:afterAutospacing="1" w:line="276" w:lineRule="auto"/>
        <w:ind w:left="0"/>
        <w:rPr>
          <w:rFonts w:cs="Calibri"/>
        </w:rPr>
      </w:pPr>
      <w:r w:rsidRPr="00DF4EFD">
        <w:rPr>
          <w:rFonts w:cs="Calibri"/>
        </w:rPr>
        <w:t>Les pelouses sèches bénéficient d'une reconnaissance et d'une protection réglementaire à plusieurs niveaux en raison de leur grande valeur écologique. Au niveau européen, elles sont inscrites à l'annexe I de la directive Habitats (92/43/CEE), qui liste les habitats d'intérêt communautaire nécessitant une protection particulière. Dans ce cadre, elles font partie intégrante du réseau Natura 2000 (code 6210), qui vise à maintenir ou rétablir ces habitats dans un état de conservation favorable. En France, la protection des pelouses sèches peut également être renforcée par des arrêtés préfectoraux de protection de biotope (APPB), qui interdisent ou réglementent certaines activités susceptibles de dégrader ces milieux, telles que l'urbanisation, le retournement agricole ou encore l'abandon de pratiques comme le pâturage.</w:t>
      </w:r>
    </w:p>
    <w:p w14:paraId="5EC0EF56" w14:textId="77777777" w:rsidR="000F5181" w:rsidRDefault="000F5181" w:rsidP="000F5181">
      <w:pPr>
        <w:pStyle w:val="Paragraphedeliste"/>
        <w:spacing w:before="100" w:beforeAutospacing="1" w:after="100" w:afterAutospacing="1" w:line="276" w:lineRule="auto"/>
        <w:ind w:left="0"/>
        <w:rPr>
          <w:rFonts w:cs="Calibri"/>
        </w:rPr>
      </w:pPr>
    </w:p>
    <w:p w14:paraId="2AAAB21A" w14:textId="77777777" w:rsidR="000F5181" w:rsidRDefault="000F5181" w:rsidP="000F5181">
      <w:pPr>
        <w:pStyle w:val="Paragraphedeliste"/>
        <w:spacing w:before="100" w:beforeAutospacing="1" w:after="100" w:afterAutospacing="1" w:line="276" w:lineRule="auto"/>
        <w:ind w:left="0"/>
        <w:rPr>
          <w:rFonts w:cs="Calibri"/>
        </w:rPr>
      </w:pPr>
      <w:r w:rsidRPr="00DF4EFD">
        <w:rPr>
          <w:rFonts w:cs="Calibri"/>
        </w:rPr>
        <w:t xml:space="preserve">L'inventaire des pelouses et coteaux secs du département de l'Isère a été réalisé par le Conservatoire d'espaces naturels (CEN) de l'Isère, en collaboration avec plusieurs partenaires, dont le Conservatoire botanique national alpin, les associations Lo </w:t>
      </w:r>
      <w:proofErr w:type="spellStart"/>
      <w:r w:rsidRPr="00DF4EFD">
        <w:rPr>
          <w:rFonts w:cs="Calibri"/>
        </w:rPr>
        <w:t>Parvi</w:t>
      </w:r>
      <w:proofErr w:type="spellEnd"/>
      <w:r w:rsidRPr="00DF4EFD">
        <w:rPr>
          <w:rFonts w:cs="Calibri"/>
        </w:rPr>
        <w:t xml:space="preserve"> et Nature Vivante, ainsi que divers territoires tels que les Parcs naturels régionaux du Vercors et de la Chartreuse. Cet inventaire s'inscrit dans le cadre de la mise en œuvre du Schéma Régional de Cohérence Écologique (SRCE) de Rhône-Alpes, avec pour objectif de rassembler les données existantes et de les cartographier afin de faciliter l'intégration de ces milieux dans la trame orange lors de la révision du SRCE.</w:t>
      </w:r>
    </w:p>
    <w:p w14:paraId="717F4C96" w14:textId="77777777" w:rsidR="000F5181" w:rsidRDefault="000F5181" w:rsidP="000F5181">
      <w:pPr>
        <w:pStyle w:val="Paragraphedeliste"/>
        <w:spacing w:before="100" w:beforeAutospacing="1" w:after="100" w:afterAutospacing="1" w:line="276" w:lineRule="auto"/>
        <w:ind w:left="0"/>
        <w:rPr>
          <w:rFonts w:cs="Calibri"/>
        </w:rPr>
      </w:pPr>
    </w:p>
    <w:p w14:paraId="3209BAA2" w14:textId="79C5A70A" w:rsidR="000F5181" w:rsidRPr="00C84583" w:rsidRDefault="000F5181" w:rsidP="000F5181">
      <w:pPr>
        <w:autoSpaceDE w:val="0"/>
        <w:autoSpaceDN w:val="0"/>
        <w:adjustRightInd w:val="0"/>
        <w:spacing w:before="180" w:line="276" w:lineRule="auto"/>
        <w:rPr>
          <w:rFonts w:cs="Calibri"/>
          <w:highlight w:val="yellow"/>
        </w:rPr>
      </w:pPr>
      <w:r w:rsidRPr="00C84583">
        <w:rPr>
          <w:rFonts w:cs="Calibri"/>
          <w:highlight w:val="yellow"/>
        </w:rPr>
        <w:t xml:space="preserve">TABLEAU </w:t>
      </w:r>
      <w:r>
        <w:rPr>
          <w:rFonts w:cs="Calibri"/>
          <w:highlight w:val="yellow"/>
        </w:rPr>
        <w:t>PELOUSES SECHES</w:t>
      </w:r>
    </w:p>
    <w:p w14:paraId="3A499A1D" w14:textId="593385C5" w:rsidR="000F5181" w:rsidRDefault="000F5181" w:rsidP="000F5181">
      <w:pPr>
        <w:autoSpaceDE w:val="0"/>
        <w:autoSpaceDN w:val="0"/>
        <w:adjustRightInd w:val="0"/>
        <w:spacing w:before="180" w:line="276" w:lineRule="auto"/>
        <w:rPr>
          <w:rFonts w:cs="Calibri"/>
        </w:rPr>
      </w:pPr>
      <w:r w:rsidRPr="002049EE">
        <w:rPr>
          <w:rFonts w:cs="Calibri"/>
          <w:highlight w:val="yellow"/>
        </w:rPr>
        <w:t xml:space="preserve">CARTE </w:t>
      </w:r>
      <w:r>
        <w:rPr>
          <w:rFonts w:cs="Calibri"/>
          <w:highlight w:val="yellow"/>
        </w:rPr>
        <w:t>PELOUSES SECHES</w:t>
      </w:r>
    </w:p>
    <w:p w14:paraId="159123C6" w14:textId="77777777" w:rsidR="00C8295F" w:rsidRPr="00DF4EFD" w:rsidRDefault="00C8295F" w:rsidP="00C8295F">
      <w:pPr>
        <w:pStyle w:val="Lgende"/>
        <w:rPr>
          <w:rFonts w:cs="Calibri"/>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 </w:t>
      </w:r>
      <w:r w:rsidRPr="004116B2">
        <w:t>Cartographie des pelouses sèches issue</w:t>
      </w:r>
      <w:r>
        <w:t>s</w:t>
      </w:r>
      <w:r w:rsidRPr="004116B2">
        <w:t xml:space="preserve"> de l'inventaire départementale</w:t>
      </w:r>
    </w:p>
    <w:p w14:paraId="6675A5D7" w14:textId="2C361C6D" w:rsidR="00094CD4" w:rsidRDefault="00094CD4" w:rsidP="00094CD4">
      <w:pPr>
        <w:spacing w:before="0" w:after="160" w:line="256" w:lineRule="auto"/>
        <w:jc w:val="left"/>
      </w:pPr>
    </w:p>
    <w:p w14:paraId="23DC3A2C" w14:textId="77777777" w:rsidR="00C8295F" w:rsidRDefault="00C8295F" w:rsidP="00C8295F">
      <w:pPr>
        <w:pStyle w:val="Titre3"/>
        <w:numPr>
          <w:ilvl w:val="1"/>
          <w:numId w:val="4"/>
        </w:numPr>
        <w:tabs>
          <w:tab w:val="num" w:pos="1440"/>
        </w:tabs>
        <w:spacing w:before="360" w:line="276" w:lineRule="auto"/>
        <w:ind w:left="576" w:hanging="576"/>
        <w:rPr>
          <w:b/>
          <w:bCs/>
          <w:color w:val="4F81BD"/>
          <w:sz w:val="28"/>
          <w:lang w:val="x-none"/>
        </w:rPr>
      </w:pPr>
      <w:bookmarkStart w:id="26" w:name="_Toc181105684"/>
      <w:bookmarkStart w:id="27" w:name="_Hlk18602052"/>
      <w:bookmarkStart w:id="28" w:name="_Hlk160091175"/>
      <w:bookmarkStart w:id="29" w:name="_Hlk179375636"/>
      <w:r>
        <w:rPr>
          <w:b/>
          <w:bCs/>
          <w:i/>
          <w:color w:val="4F81BD"/>
          <w:sz w:val="28"/>
        </w:rPr>
        <w:lastRenderedPageBreak/>
        <w:t>Zones humides</w:t>
      </w:r>
      <w:bookmarkEnd w:id="26"/>
    </w:p>
    <w:bookmarkEnd w:id="27"/>
    <w:bookmarkEnd w:id="28"/>
    <w:bookmarkEnd w:id="29"/>
    <w:p w14:paraId="52B06D58" w14:textId="77777777" w:rsidR="00C8295F" w:rsidRDefault="00C8295F" w:rsidP="00C8295F">
      <w:pPr>
        <w:autoSpaceDE w:val="0"/>
        <w:autoSpaceDN w:val="0"/>
        <w:adjustRightInd w:val="0"/>
        <w:spacing w:line="276" w:lineRule="auto"/>
        <w:rPr>
          <w:sz w:val="24"/>
          <w:szCs w:val="24"/>
        </w:rPr>
      </w:pPr>
      <w:r>
        <w:rPr>
          <w:rFonts w:eastAsia="Times New Roman" w:cs="Calibri"/>
          <w:color w:val="000000"/>
          <w:lang w:eastAsia="fr-FR"/>
        </w:rPr>
        <w:t xml:space="preserve">Les </w:t>
      </w:r>
      <w:r>
        <w:rPr>
          <w:rFonts w:eastAsia="Times New Roman" w:cs="Calibri"/>
          <w:b/>
          <w:bCs/>
          <w:color w:val="000000"/>
          <w:lang w:eastAsia="fr-FR"/>
        </w:rPr>
        <w:t>zones humides</w:t>
      </w:r>
      <w:r>
        <w:rPr>
          <w:rFonts w:eastAsia="Times New Roman" w:cs="Calibri"/>
          <w:color w:val="000000"/>
          <w:lang w:eastAsia="fr-FR"/>
        </w:rPr>
        <w:t xml:space="preserve"> remplissent des fonctions essentielles au maintien des équilibres écologiques et rendent des services à la collectivité. Selon l’article L211-1 du Code de l’Environnement, les zones humides sont définies comme « les terrains, exploités ou non, habituellement inondés ou gorgés d’eau douce, salée ou saumâtre de façon permanente ou temporaire ; la végétation, quand elle existe, y est dominée par des plantes hygrophiles au moins une partie de l’année ». Selon leur état de conservation, les zones humides assurent tout ou au moins une partie des trois grandes fonctionnalités suivantes :</w:t>
      </w:r>
    </w:p>
    <w:p w14:paraId="555FAE1F" w14:textId="77777777" w:rsidR="00C8295F" w:rsidRDefault="00C8295F" w:rsidP="00C8295F">
      <w:pPr>
        <w:pStyle w:val="Paragraphedeliste"/>
        <w:numPr>
          <w:ilvl w:val="0"/>
          <w:numId w:val="9"/>
        </w:numPr>
        <w:spacing w:before="0" w:after="0" w:line="276" w:lineRule="auto"/>
        <w:rPr>
          <w:rFonts w:eastAsia="Times New Roman" w:cs="Calibri"/>
          <w:color w:val="000000"/>
          <w:lang w:eastAsia="fr-FR"/>
        </w:rPr>
      </w:pPr>
      <w:r>
        <w:rPr>
          <w:rFonts w:eastAsia="Times New Roman" w:cs="Calibri"/>
          <w:b/>
          <w:bCs/>
          <w:color w:val="000000"/>
          <w:lang w:eastAsia="fr-FR"/>
        </w:rPr>
        <w:t>Régulation des régimes hydrologiques</w:t>
      </w:r>
      <w:r>
        <w:rPr>
          <w:rFonts w:ascii="Calibri-Bold" w:eastAsia="Times New Roman" w:hAnsi="Calibri-Bold"/>
          <w:b/>
          <w:bCs/>
          <w:color w:val="000000"/>
          <w:lang w:eastAsia="fr-FR"/>
        </w:rPr>
        <w:t xml:space="preserve"> </w:t>
      </w:r>
      <w:r>
        <w:rPr>
          <w:rFonts w:eastAsia="Times New Roman" w:cs="Calibri"/>
          <w:color w:val="000000"/>
          <w:lang w:eastAsia="fr-FR"/>
        </w:rPr>
        <w:t>: les zones humides retardent globalement le ruissellement des eaux de pluies et le transfert immédiat des eaux superficielles vers l'aval du bassin-versant. Telles des éponges, elles "absorbent" momentanément l'excès d'eau puis le restituent progressivement lors des périodes de sécheresse. Elles permettent, pour une part variable suivant les sites, la réduction de l'intensité des crues, et soutiennent les débits des cours d'eau, sources et nappes en période d'étiage.</w:t>
      </w:r>
    </w:p>
    <w:p w14:paraId="52A7BD58" w14:textId="77777777" w:rsidR="00C8295F" w:rsidRDefault="00C8295F" w:rsidP="00C8295F">
      <w:pPr>
        <w:pStyle w:val="Paragraphedeliste"/>
        <w:numPr>
          <w:ilvl w:val="0"/>
          <w:numId w:val="9"/>
        </w:numPr>
        <w:spacing w:before="0" w:after="0" w:line="276" w:lineRule="auto"/>
        <w:rPr>
          <w:rFonts w:eastAsia="Times New Roman" w:cs="Calibri"/>
          <w:color w:val="000000"/>
          <w:lang w:eastAsia="fr-FR"/>
        </w:rPr>
      </w:pPr>
      <w:bookmarkStart w:id="30" w:name="_Hlk154048681"/>
      <w:r>
        <w:rPr>
          <w:rFonts w:eastAsia="Times New Roman" w:cs="Calibri"/>
          <w:b/>
          <w:bCs/>
          <w:color w:val="000000"/>
          <w:lang w:eastAsia="fr-FR"/>
        </w:rPr>
        <w:t>Autoépuration et protection de la qualité des eaux</w:t>
      </w:r>
      <w:r>
        <w:rPr>
          <w:rFonts w:ascii="Calibri-Bold" w:eastAsia="Times New Roman" w:hAnsi="Calibri-Bold"/>
          <w:b/>
          <w:bCs/>
          <w:color w:val="000000"/>
          <w:lang w:eastAsia="fr-FR"/>
        </w:rPr>
        <w:t xml:space="preserve"> </w:t>
      </w:r>
      <w:r>
        <w:rPr>
          <w:rFonts w:eastAsia="Times New Roman" w:cs="Calibri"/>
          <w:color w:val="000000"/>
          <w:lang w:eastAsia="fr-FR"/>
        </w:rPr>
        <w:t>: les zones humides contribuent au maintien et à l'amélioration de la qualité de l'eau en agissant comme filtres épurateurs des eaux souterraines ou superficielles.</w:t>
      </w:r>
    </w:p>
    <w:bookmarkEnd w:id="30"/>
    <w:p w14:paraId="0817A9E5" w14:textId="77777777" w:rsidR="00C8295F" w:rsidRDefault="00C8295F" w:rsidP="00C8295F">
      <w:pPr>
        <w:pStyle w:val="Paragraphedeliste"/>
        <w:numPr>
          <w:ilvl w:val="0"/>
          <w:numId w:val="9"/>
        </w:numPr>
        <w:spacing w:before="0" w:after="0" w:line="276" w:lineRule="auto"/>
        <w:rPr>
          <w:rFonts w:eastAsia="Times New Roman" w:cs="Calibri"/>
          <w:color w:val="000000"/>
          <w:lang w:eastAsia="fr-FR"/>
        </w:rPr>
      </w:pPr>
      <w:r>
        <w:rPr>
          <w:rFonts w:eastAsia="Times New Roman" w:cs="Calibri"/>
          <w:b/>
          <w:bCs/>
          <w:color w:val="000000"/>
          <w:lang w:eastAsia="fr-FR"/>
        </w:rPr>
        <w:t>Réservoir biologique</w:t>
      </w:r>
      <w:r>
        <w:rPr>
          <w:rFonts w:ascii="Calibri-Bold" w:eastAsia="Times New Roman" w:hAnsi="Calibri-Bold"/>
          <w:b/>
          <w:bCs/>
          <w:color w:val="000000"/>
          <w:lang w:eastAsia="fr-FR"/>
        </w:rPr>
        <w:t xml:space="preserve"> </w:t>
      </w:r>
      <w:r>
        <w:rPr>
          <w:rFonts w:eastAsia="Times New Roman" w:cs="Calibri"/>
          <w:color w:val="000000"/>
          <w:lang w:eastAsia="fr-FR"/>
        </w:rPr>
        <w:t>: espaces de transition entre la terre et l’eau les zones humides présentent une potentialité biologique souvent plus élevée que les autres milieux. Lorsqu’elles sont peu anthropisées, de nombreuses espèces végétales et animales y vivent de façon permanente ou transitoire. Elles assurent ainsi des fonctions d'alimentation, de reproduction, mais aussi de refuge. C’est pourquoi leur sauvegarde est une obligation légale qui relève de l’intérêt général.</w:t>
      </w:r>
    </w:p>
    <w:p w14:paraId="0EDD7044" w14:textId="77777777" w:rsidR="00C8295F" w:rsidRDefault="00C8295F" w:rsidP="00C8295F">
      <w:pPr>
        <w:autoSpaceDE w:val="0"/>
        <w:autoSpaceDN w:val="0"/>
        <w:adjustRightInd w:val="0"/>
        <w:spacing w:before="240" w:line="276" w:lineRule="auto"/>
      </w:pPr>
      <w:r>
        <w:t>Deux critères fondamentaux doivent être étudiés pour délimiter une zone humide :</w:t>
      </w:r>
    </w:p>
    <w:p w14:paraId="60288B69" w14:textId="77777777" w:rsidR="00C8295F" w:rsidRDefault="00C8295F" w:rsidP="00C8295F">
      <w:pPr>
        <w:numPr>
          <w:ilvl w:val="0"/>
          <w:numId w:val="3"/>
        </w:numPr>
        <w:autoSpaceDE w:val="0"/>
        <w:autoSpaceDN w:val="0"/>
        <w:adjustRightInd w:val="0"/>
        <w:spacing w:after="0" w:line="276" w:lineRule="auto"/>
      </w:pPr>
      <w:r>
        <w:t xml:space="preserve">les </w:t>
      </w:r>
      <w:r>
        <w:rPr>
          <w:b/>
        </w:rPr>
        <w:t>couches pédologiques</w:t>
      </w:r>
      <w:r>
        <w:t xml:space="preserve"> représentatives des zones humides : les </w:t>
      </w:r>
      <w:proofErr w:type="spellStart"/>
      <w:r>
        <w:t>histosols</w:t>
      </w:r>
      <w:proofErr w:type="spellEnd"/>
      <w:r>
        <w:t xml:space="preserve"> et les </w:t>
      </w:r>
      <w:proofErr w:type="spellStart"/>
      <w:r>
        <w:t>réductisols</w:t>
      </w:r>
      <w:proofErr w:type="spellEnd"/>
      <w:r>
        <w:t xml:space="preserve"> (engorgement d’eau permanent) ainsi que certaines </w:t>
      </w:r>
      <w:proofErr w:type="spellStart"/>
      <w:r>
        <w:t>rédoxisols</w:t>
      </w:r>
      <w:proofErr w:type="spellEnd"/>
      <w:r>
        <w:t xml:space="preserve"> (Art. 1</w:t>
      </w:r>
      <w:r>
        <w:rPr>
          <w:vertAlign w:val="superscript"/>
        </w:rPr>
        <w:t>er</w:t>
      </w:r>
      <w:r>
        <w:t xml:space="preserve"> – 1°) ;</w:t>
      </w:r>
    </w:p>
    <w:p w14:paraId="0E792984" w14:textId="77777777" w:rsidR="00C8295F" w:rsidRDefault="00C8295F" w:rsidP="00C8295F">
      <w:pPr>
        <w:numPr>
          <w:ilvl w:val="0"/>
          <w:numId w:val="3"/>
        </w:numPr>
        <w:autoSpaceDE w:val="0"/>
        <w:autoSpaceDN w:val="0"/>
        <w:adjustRightInd w:val="0"/>
        <w:spacing w:after="0" w:line="276" w:lineRule="auto"/>
      </w:pPr>
      <w:r>
        <w:t xml:space="preserve">la </w:t>
      </w:r>
      <w:r>
        <w:rPr>
          <w:b/>
        </w:rPr>
        <w:t>végétation hygrophile</w:t>
      </w:r>
      <w:r>
        <w:t xml:space="preserve"> : communauté végétale formée d’espèces demandant à être régulièrement alimentée en eau et se développant principalement dans les stations humides. Cette végétation est déterminée soit à partir de l’identification et de la quantification des espèces représentatives de zones humides (liste proposée dans l’arrêté ministériel), soit en fonction de la présence d’habitat humide caractéristique (Art. 1</w:t>
      </w:r>
      <w:r>
        <w:rPr>
          <w:vertAlign w:val="superscript"/>
        </w:rPr>
        <w:t>er</w:t>
      </w:r>
      <w:r>
        <w:t xml:space="preserve"> – 2°).</w:t>
      </w:r>
    </w:p>
    <w:p w14:paraId="593A75C8" w14:textId="77777777" w:rsidR="00C8295F" w:rsidRDefault="00C8295F" w:rsidP="00C8295F">
      <w:pPr>
        <w:autoSpaceDE w:val="0"/>
        <w:autoSpaceDN w:val="0"/>
        <w:adjustRightInd w:val="0"/>
        <w:spacing w:after="0" w:line="276" w:lineRule="auto"/>
      </w:pPr>
      <w:r>
        <w:t>Plusieurs zones humides avérées sont présentes au sein de l’aire d’étude élargie :</w:t>
      </w:r>
    </w:p>
    <w:p w14:paraId="32C568C7" w14:textId="77777777" w:rsidR="00C8295F" w:rsidRDefault="00C8295F" w:rsidP="00C8295F">
      <w:pPr>
        <w:autoSpaceDE w:val="0"/>
        <w:autoSpaceDN w:val="0"/>
        <w:adjustRightInd w:val="0"/>
        <w:spacing w:after="0" w:line="276" w:lineRule="auto"/>
      </w:pPr>
    </w:p>
    <w:p w14:paraId="1811AFCE" w14:textId="72A29812" w:rsidR="00C8295F" w:rsidRPr="00C8295F" w:rsidRDefault="00C8295F" w:rsidP="00C8295F">
      <w:pPr>
        <w:autoSpaceDE w:val="0"/>
        <w:autoSpaceDN w:val="0"/>
        <w:adjustRightInd w:val="0"/>
        <w:spacing w:before="180" w:line="276" w:lineRule="auto"/>
        <w:rPr>
          <w:rFonts w:cs="Calibri"/>
          <w:highlight w:val="yellow"/>
        </w:rPr>
      </w:pPr>
      <w:r w:rsidRPr="00C8295F">
        <w:rPr>
          <w:rFonts w:cs="Calibri"/>
          <w:highlight w:val="yellow"/>
        </w:rPr>
        <w:t xml:space="preserve">TABLEAU </w:t>
      </w:r>
      <w:r w:rsidRPr="00C8295F">
        <w:rPr>
          <w:rFonts w:cs="Calibri"/>
          <w:highlight w:val="yellow"/>
        </w:rPr>
        <w:t>ZH AV</w:t>
      </w:r>
    </w:p>
    <w:p w14:paraId="79923C0D" w14:textId="3D6ADDEB" w:rsidR="00C8295F" w:rsidRDefault="00C8295F" w:rsidP="00C8295F">
      <w:pPr>
        <w:autoSpaceDE w:val="0"/>
        <w:autoSpaceDN w:val="0"/>
        <w:adjustRightInd w:val="0"/>
        <w:spacing w:before="180" w:line="276" w:lineRule="auto"/>
        <w:rPr>
          <w:rFonts w:cs="Calibri"/>
        </w:rPr>
      </w:pPr>
      <w:r w:rsidRPr="00C8295F">
        <w:rPr>
          <w:rFonts w:cs="Calibri"/>
          <w:highlight w:val="yellow"/>
        </w:rPr>
        <w:t xml:space="preserve">CARTE </w:t>
      </w:r>
      <w:r w:rsidRPr="00C8295F">
        <w:rPr>
          <w:rFonts w:cs="Calibri"/>
          <w:highlight w:val="yellow"/>
        </w:rPr>
        <w:t>ZH AV</w:t>
      </w:r>
    </w:p>
    <w:p w14:paraId="720AD00B" w14:textId="2C046D93" w:rsidR="00C8295F" w:rsidRDefault="00C8295F" w:rsidP="00094CD4">
      <w:pPr>
        <w:spacing w:before="0" w:after="160" w:line="256" w:lineRule="auto"/>
        <w:jc w:val="left"/>
      </w:pPr>
    </w:p>
    <w:p w14:paraId="402F5AF1" w14:textId="77777777" w:rsidR="00C8295F" w:rsidRDefault="00C8295F" w:rsidP="00C8295F">
      <w:pPr>
        <w:spacing w:before="0" w:after="0" w:line="276" w:lineRule="auto"/>
        <w:rPr>
          <w:rFonts w:eastAsia="Times New Roman" w:cs="Calibri"/>
          <w:color w:val="000000"/>
          <w:lang w:eastAsia="fr-FR"/>
        </w:rPr>
      </w:pPr>
      <w:r>
        <w:rPr>
          <w:rFonts w:eastAsia="Times New Roman" w:cs="Calibri"/>
          <w:color w:val="000000"/>
          <w:lang w:eastAsia="fr-FR"/>
        </w:rPr>
        <w:t>La localisation de ces zones humides dans le territoire de la zone d’étude est précisée sur la carte ci-dessous :</w:t>
      </w:r>
    </w:p>
    <w:p w14:paraId="3F0D0B92" w14:textId="77777777" w:rsidR="00C8295F" w:rsidRDefault="00C8295F" w:rsidP="00C8295F">
      <w:pPr>
        <w:pStyle w:val="Lgende"/>
        <w:spacing w:line="276" w:lineRule="auto"/>
      </w:pPr>
      <w:bookmarkStart w:id="31" w:name="_Toc150537393"/>
      <w:bookmarkStart w:id="32" w:name="_Toc157525431"/>
      <w:bookmarkStart w:id="33" w:name="_Toc179299522"/>
      <w:bookmarkStart w:id="34" w:name="_Toc181105707"/>
      <w:r>
        <w:lastRenderedPageBreak/>
        <w:t xml:space="preserve">Figure </w:t>
      </w:r>
      <w:r>
        <w:fldChar w:fldCharType="begin"/>
      </w:r>
      <w:r>
        <w:instrText xml:space="preserve"> SEQ Figure \* ARABIC </w:instrText>
      </w:r>
      <w:r>
        <w:fldChar w:fldCharType="separate"/>
      </w:r>
      <w:r>
        <w:rPr>
          <w:noProof/>
        </w:rPr>
        <w:t>5</w:t>
      </w:r>
      <w:r>
        <w:rPr>
          <w:noProof/>
        </w:rPr>
        <w:fldChar w:fldCharType="end"/>
      </w:r>
      <w:r>
        <w:t xml:space="preserve"> : Zones humides avérées localisées à proximité de la zone d’étude</w:t>
      </w:r>
      <w:bookmarkEnd w:id="31"/>
      <w:bookmarkEnd w:id="32"/>
      <w:bookmarkEnd w:id="33"/>
      <w:bookmarkEnd w:id="34"/>
    </w:p>
    <w:p w14:paraId="40EC72E6" w14:textId="4A00BADE" w:rsidR="00C8295F" w:rsidRDefault="00C8295F" w:rsidP="00094CD4">
      <w:pPr>
        <w:spacing w:before="0" w:after="160" w:line="256" w:lineRule="auto"/>
        <w:jc w:val="left"/>
      </w:pPr>
    </w:p>
    <w:p w14:paraId="2700FF0B" w14:textId="77777777" w:rsidR="00C8295F" w:rsidRPr="003A3715" w:rsidRDefault="00C8295F" w:rsidP="00C8295F">
      <w:pPr>
        <w:spacing w:before="0" w:after="0" w:line="276" w:lineRule="auto"/>
        <w:rPr>
          <w:rFonts w:cs="Calibri"/>
          <w:color w:val="000000"/>
        </w:rPr>
      </w:pPr>
      <w:r w:rsidRPr="003A3715">
        <w:rPr>
          <w:rFonts w:cs="Calibri"/>
          <w:color w:val="000000"/>
        </w:rPr>
        <w:t xml:space="preserve">Sollicitées par le Ministère de l’Ecologie, du Développement Durable et de l’Energie, deux équipes de l’INRA d’Orléans (US </w:t>
      </w:r>
      <w:proofErr w:type="spellStart"/>
      <w:r w:rsidRPr="003A3715">
        <w:rPr>
          <w:rFonts w:cs="Calibri"/>
          <w:color w:val="000000"/>
        </w:rPr>
        <w:t>InfoSol</w:t>
      </w:r>
      <w:proofErr w:type="spellEnd"/>
      <w:r w:rsidRPr="003A3715">
        <w:rPr>
          <w:rFonts w:cs="Calibri"/>
          <w:color w:val="000000"/>
        </w:rPr>
        <w:t xml:space="preserve">) et d’AGROCAMPUS OUEST à Rennes (UMR SAS) ont produit une carte des milieux potentiellement humides de la France métropolitaine. Cette carte modélise les enveloppes qui, selon les critères géomorphologiques et climatiques, sont </w:t>
      </w:r>
      <w:r w:rsidRPr="003A3715">
        <w:rPr>
          <w:rFonts w:cs="Calibri"/>
          <w:b/>
          <w:bCs/>
          <w:color w:val="000000"/>
        </w:rPr>
        <w:t>susceptibles de contenir des zones humides</w:t>
      </w:r>
      <w:r w:rsidRPr="003A3715">
        <w:rPr>
          <w:rFonts w:cs="Calibri"/>
          <w:color w:val="000000"/>
        </w:rPr>
        <w:t xml:space="preserve"> au sens de l’arrêté du 24 juin 2008 modifié (source : </w:t>
      </w:r>
      <w:hyperlink r:id="rId5" w:history="1">
        <w:r w:rsidRPr="003A3715">
          <w:rPr>
            <w:rStyle w:val="Lienhypertexte"/>
            <w:rFonts w:ascii="Calibri" w:hAnsi="Calibri" w:cs="Calibri"/>
          </w:rPr>
          <w:t>http://sig.reseau-zones-humides.org</w:t>
        </w:r>
      </w:hyperlink>
      <w:r w:rsidRPr="003A3715">
        <w:rPr>
          <w:rFonts w:cs="Calibri"/>
          <w:color w:val="000000"/>
        </w:rPr>
        <w:t xml:space="preserve">). </w:t>
      </w:r>
    </w:p>
    <w:p w14:paraId="6C45028A" w14:textId="77777777" w:rsidR="00C8295F" w:rsidRPr="003A3715" w:rsidRDefault="00C8295F" w:rsidP="00C8295F">
      <w:pPr>
        <w:spacing w:before="0" w:after="0" w:line="276" w:lineRule="auto"/>
        <w:rPr>
          <w:rFonts w:cs="Calibri"/>
          <w:color w:val="000000"/>
        </w:rPr>
      </w:pPr>
    </w:p>
    <w:p w14:paraId="2E7F5528" w14:textId="77777777" w:rsidR="00C8295F" w:rsidRPr="003A3715" w:rsidRDefault="00C8295F" w:rsidP="00C8295F">
      <w:pPr>
        <w:spacing w:before="0" w:after="0" w:line="276" w:lineRule="auto"/>
        <w:rPr>
          <w:rFonts w:cs="Calibri"/>
          <w:color w:val="000000"/>
        </w:rPr>
      </w:pPr>
      <w:r w:rsidRPr="003A3715">
        <w:rPr>
          <w:rFonts w:cs="Calibri"/>
          <w:color w:val="000000"/>
        </w:rPr>
        <w:t xml:space="preserve">Les résultats de la modélisation des zones humides potentielles sont présentés dans la carte ci-après : </w:t>
      </w:r>
    </w:p>
    <w:p w14:paraId="45ACA906" w14:textId="6F1B5709" w:rsidR="00C8295F" w:rsidRDefault="00C8295F" w:rsidP="00C8295F">
      <w:pPr>
        <w:autoSpaceDE w:val="0"/>
        <w:autoSpaceDN w:val="0"/>
        <w:adjustRightInd w:val="0"/>
        <w:spacing w:before="180" w:line="276" w:lineRule="auto"/>
        <w:jc w:val="center"/>
        <w:rPr>
          <w:rFonts w:cs="Calibri"/>
        </w:rPr>
      </w:pPr>
      <w:bookmarkStart w:id="35" w:name="_Toc150537394"/>
      <w:bookmarkStart w:id="36" w:name="_Toc157525432"/>
      <w:bookmarkStart w:id="37" w:name="_Toc179299523"/>
      <w:bookmarkStart w:id="38" w:name="_Toc181105708"/>
      <w:r w:rsidRPr="00C8295F">
        <w:rPr>
          <w:rFonts w:cs="Calibri"/>
          <w:highlight w:val="yellow"/>
        </w:rPr>
        <w:t xml:space="preserve">CARTE ZH </w:t>
      </w:r>
      <w:r w:rsidRPr="00C8295F">
        <w:rPr>
          <w:rFonts w:cs="Calibri"/>
          <w:highlight w:val="yellow"/>
        </w:rPr>
        <w:t>POT</w:t>
      </w:r>
    </w:p>
    <w:p w14:paraId="27A7F243" w14:textId="77777777" w:rsidR="00C8295F" w:rsidRPr="005251A6" w:rsidRDefault="00C8295F" w:rsidP="00C8295F">
      <w:pPr>
        <w:pStyle w:val="Lgende"/>
        <w:spacing w:line="276" w:lineRule="auto"/>
        <w:jc w:val="both"/>
        <w:rPr>
          <w:rFonts w:cs="Calibri"/>
          <w:sz w:val="22"/>
        </w:rPr>
      </w:pPr>
      <w:r w:rsidRPr="005251A6">
        <w:rPr>
          <w:rFonts w:cs="Calibri"/>
          <w:sz w:val="22"/>
        </w:rPr>
        <w:t xml:space="preserve">Figure </w:t>
      </w:r>
      <w:r w:rsidRPr="005251A6">
        <w:rPr>
          <w:rFonts w:cs="Calibri"/>
          <w:sz w:val="22"/>
        </w:rPr>
        <w:fldChar w:fldCharType="begin"/>
      </w:r>
      <w:r w:rsidRPr="005251A6">
        <w:rPr>
          <w:rFonts w:cs="Calibri"/>
          <w:sz w:val="22"/>
        </w:rPr>
        <w:instrText xml:space="preserve"> SEQ Figure \* ARABIC </w:instrText>
      </w:r>
      <w:r w:rsidRPr="005251A6">
        <w:rPr>
          <w:rFonts w:cs="Calibri"/>
          <w:sz w:val="22"/>
        </w:rPr>
        <w:fldChar w:fldCharType="separate"/>
      </w:r>
      <w:r w:rsidRPr="005251A6">
        <w:rPr>
          <w:rFonts w:cs="Calibri"/>
          <w:noProof/>
          <w:sz w:val="22"/>
        </w:rPr>
        <w:t>6</w:t>
      </w:r>
      <w:r w:rsidRPr="005251A6">
        <w:rPr>
          <w:rFonts w:cs="Calibri"/>
          <w:noProof/>
          <w:sz w:val="22"/>
        </w:rPr>
        <w:fldChar w:fldCharType="end"/>
      </w:r>
      <w:r w:rsidRPr="005251A6">
        <w:rPr>
          <w:rFonts w:cs="Calibri"/>
          <w:sz w:val="22"/>
        </w:rPr>
        <w:t xml:space="preserve"> : Localisation des zones humides potentielles dans le territoire de la zone d'étude (source : réseau-zones-humides)</w:t>
      </w:r>
      <w:bookmarkEnd w:id="35"/>
      <w:bookmarkEnd w:id="36"/>
      <w:bookmarkEnd w:id="37"/>
      <w:bookmarkEnd w:id="38"/>
    </w:p>
    <w:p w14:paraId="7105AB42" w14:textId="77777777" w:rsidR="00C8295F" w:rsidRPr="005251A6" w:rsidRDefault="00C8295F" w:rsidP="00C8295F">
      <w:pPr>
        <w:spacing w:before="0" w:after="0" w:line="276" w:lineRule="auto"/>
        <w:rPr>
          <w:rFonts w:cs="Calibri"/>
        </w:rPr>
      </w:pPr>
      <w:r w:rsidRPr="005251A6">
        <w:rPr>
          <w:rFonts w:cs="Calibri"/>
          <w:color w:val="000000"/>
        </w:rPr>
        <w:t xml:space="preserve">Ce modèle indique que la zone d’étude est localisée dans un secteur ayant une </w:t>
      </w:r>
      <w:r w:rsidRPr="005251A6">
        <w:rPr>
          <w:rFonts w:cs="Calibri"/>
          <w:b/>
          <w:bCs/>
          <w:color w:val="000000"/>
          <w:highlight w:val="yellow"/>
        </w:rPr>
        <w:t>probabilité assez forte à forte d’être humide</w:t>
      </w:r>
      <w:r w:rsidRPr="005251A6">
        <w:rPr>
          <w:rFonts w:cs="Calibri"/>
          <w:color w:val="000000"/>
        </w:rPr>
        <w:t>.</w:t>
      </w:r>
    </w:p>
    <w:p w14:paraId="190DC445" w14:textId="77777777" w:rsidR="00C8295F" w:rsidRPr="0075745F" w:rsidRDefault="00C8295F" w:rsidP="00094CD4">
      <w:pPr>
        <w:spacing w:before="0" w:after="160" w:line="256" w:lineRule="auto"/>
        <w:jc w:val="left"/>
      </w:pPr>
    </w:p>
    <w:sectPr w:rsidR="00C8295F" w:rsidRPr="0075745F" w:rsidSect="00D23B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Bold">
    <w:altName w:val="Calibri"/>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128780A"/>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568" w:firstLine="0"/>
      </w:pPr>
      <w:rPr>
        <w:rFonts w:ascii="Cambria" w:hAnsi="Cambria" w:hint="default"/>
        <w:b/>
        <w:bCs/>
        <w:color w:val="5B9BD5" w:themeColor="accent5"/>
      </w:rPr>
    </w:lvl>
    <w:lvl w:ilvl="3">
      <w:start w:val="1"/>
      <w:numFmt w:val="decimal"/>
      <w:lvlText w:val="%1.%2.%3.%4"/>
      <w:legacy w:legacy="1" w:legacySpace="144" w:legacyIndent="0"/>
      <w:lvlJc w:val="left"/>
      <w:pPr>
        <w:ind w:left="0" w:firstLine="0"/>
      </w:pPr>
      <w:rPr>
        <w:sz w:val="22"/>
        <w:szCs w:val="22"/>
      </w:r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15:restartNumberingAfterBreak="0">
    <w:nsid w:val="0A882FE5"/>
    <w:multiLevelType w:val="hybridMultilevel"/>
    <w:tmpl w:val="668A1CBC"/>
    <w:lvl w:ilvl="0" w:tplc="0B7A995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23A61C7"/>
    <w:multiLevelType w:val="hybridMultilevel"/>
    <w:tmpl w:val="E090AF2C"/>
    <w:lvl w:ilvl="0" w:tplc="DB6C8088">
      <w:start w:val="2"/>
      <w:numFmt w:val="bullet"/>
      <w:lvlText w:val="-"/>
      <w:lvlJc w:val="left"/>
      <w:pPr>
        <w:ind w:left="720" w:hanging="360"/>
      </w:pPr>
      <w:rPr>
        <w:rFonts w:ascii="Calibri" w:eastAsia="Calibri" w:hAnsi="Calibri"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46FB5E26"/>
    <w:multiLevelType w:val="hybridMultilevel"/>
    <w:tmpl w:val="4E6E36DE"/>
    <w:lvl w:ilvl="0" w:tplc="B2E8E37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47293C25"/>
    <w:multiLevelType w:val="hybridMultilevel"/>
    <w:tmpl w:val="DE2259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552C3B22"/>
    <w:multiLevelType w:val="hybridMultilevel"/>
    <w:tmpl w:val="F5C8C5B6"/>
    <w:lvl w:ilvl="0" w:tplc="645CA120">
      <w:start w:val="1"/>
      <w:numFmt w:val="bullet"/>
      <w:lvlText w:val=""/>
      <w:lvlJc w:val="left"/>
      <w:pPr>
        <w:ind w:left="720" w:hanging="360"/>
      </w:pPr>
      <w:rPr>
        <w:rFonts w:ascii="Symbol" w:hAnsi="Symbol" w:hint="default"/>
        <w:sz w:val="2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36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60F55AFD"/>
    <w:multiLevelType w:val="hybridMultilevel"/>
    <w:tmpl w:val="91DAFE1E"/>
    <w:lvl w:ilvl="0" w:tplc="8826908C">
      <w:start w:val="2"/>
      <w:numFmt w:val="bullet"/>
      <w:pStyle w:val="Titre10"/>
      <w:lvlText w:val="-"/>
      <w:lvlJc w:val="left"/>
      <w:pPr>
        <w:tabs>
          <w:tab w:val="num" w:pos="2203"/>
        </w:tabs>
        <w:ind w:left="2203" w:hanging="360"/>
      </w:pPr>
      <w:rPr>
        <w:rFonts w:ascii="Times New Roman" w:eastAsia="Times New Roman" w:hAnsi="Times New Roman" w:cs="Times New Roman" w:hint="default"/>
      </w:rPr>
    </w:lvl>
    <w:lvl w:ilvl="1" w:tplc="74B0E67C">
      <w:start w:val="1"/>
      <w:numFmt w:val="bullet"/>
      <w:lvlText w:val=""/>
      <w:lvlJc w:val="left"/>
      <w:pPr>
        <w:tabs>
          <w:tab w:val="num" w:pos="502"/>
        </w:tabs>
        <w:ind w:left="502" w:hanging="360"/>
      </w:pPr>
      <w:rPr>
        <w:rFonts w:ascii="Symbol" w:hAnsi="Symbol" w:hint="default"/>
        <w:color w:val="5F497A"/>
        <w:sz w:val="22"/>
        <w:szCs w:val="14"/>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85D5979"/>
    <w:multiLevelType w:val="multilevel"/>
    <w:tmpl w:val="70D4D28A"/>
    <w:lvl w:ilvl="0">
      <w:start w:val="1"/>
      <w:numFmt w:val="decimal"/>
      <w:pStyle w:val="3Amt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B611DC7"/>
    <w:multiLevelType w:val="multilevel"/>
    <w:tmpl w:val="0B74E0DA"/>
    <w:lvl w:ilvl="0">
      <w:numFmt w:val="bullet"/>
      <w:lvlText w:val="-"/>
      <w:lvlJc w:val="center"/>
      <w:pPr>
        <w:tabs>
          <w:tab w:val="num" w:pos="720"/>
        </w:tabs>
        <w:ind w:left="720" w:hanging="360"/>
      </w:pPr>
      <w:rPr>
        <w:rFonts w:ascii="Calibri" w:eastAsia="Calibri" w:hAnsi="Calibri"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6"/>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5"/>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5F"/>
    <w:rsid w:val="00094CD4"/>
    <w:rsid w:val="000F5181"/>
    <w:rsid w:val="003079B5"/>
    <w:rsid w:val="004F4042"/>
    <w:rsid w:val="006F11F7"/>
    <w:rsid w:val="0075745F"/>
    <w:rsid w:val="00820EDA"/>
    <w:rsid w:val="00984369"/>
    <w:rsid w:val="00BC65F8"/>
    <w:rsid w:val="00C3367E"/>
    <w:rsid w:val="00C8295F"/>
    <w:rsid w:val="00D23BB5"/>
    <w:rsid w:val="00D877B2"/>
    <w:rsid w:val="00DF4622"/>
    <w:rsid w:val="00E11C2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17557"/>
  <w15:chartTrackingRefBased/>
  <w15:docId w15:val="{C4DDCFA8-6C77-4DB1-A71A-A6E5A280E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95F"/>
    <w:pPr>
      <w:spacing w:before="120" w:after="120" w:line="240" w:lineRule="auto"/>
      <w:jc w:val="both"/>
    </w:pPr>
    <w:rPr>
      <w:rFonts w:ascii="Calibri" w:eastAsia="Calibri" w:hAnsi="Calibri" w:cs="Times New Roman"/>
      <w14:ligatures w14:val="none"/>
    </w:rPr>
  </w:style>
  <w:style w:type="paragraph" w:styleId="Titre1">
    <w:name w:val="heading 1"/>
    <w:aliases w:val="Titre 1ceafi,CHAP1,fcv,Titre 1bieau,Titre 1 Car Car Car,Titre 1 Car Car,titre I.,Grand titre,Titre 1-Grand titre,Titre 1-Grand titre Car,Titre I,TITRE 1,§1.,1. Titre 1,titre1tom,Chapitre,Titre Niveau 1,M-Titre 1,titr...,Edf Titre 1,h,env1,TITRE1"/>
    <w:basedOn w:val="Normal"/>
    <w:next w:val="Normal"/>
    <w:link w:val="Titre1Car"/>
    <w:qFormat/>
    <w:rsid w:val="0075745F"/>
    <w:pPr>
      <w:keepNext/>
      <w:keepLines/>
      <w:pBdr>
        <w:bottom w:val="single" w:sz="4" w:space="1" w:color="auto"/>
      </w:pBdr>
      <w:outlineLvl w:val="0"/>
    </w:pPr>
    <w:rPr>
      <w:rFonts w:ascii="Cambria" w:eastAsia="Times New Roman" w:hAnsi="Cambria"/>
      <w:caps/>
      <w:noProof/>
      <w:color w:val="002060"/>
      <w:spacing w:val="20"/>
      <w:sz w:val="32"/>
      <w:szCs w:val="28"/>
    </w:rPr>
  </w:style>
  <w:style w:type="paragraph" w:styleId="Titre3">
    <w:name w:val="heading 3"/>
    <w:aliases w:val="heading 2,Titre 2ceafi,CHAP2,Style 2,Car1,nul,Car Car Car Car1 Car Car Car,Car Car Car Car1 Car Car,Titre 2 Car + Avant : 0 cm,Première ligne : 0 cm,Avant : 0 pt,ZS 2,titre2,Car,titre2 Car,sous-chapitre,M-Titre 2,§1.1,§1.1.,T2,TITRE 2,TT2"/>
    <w:basedOn w:val="Normal"/>
    <w:next w:val="Normal"/>
    <w:link w:val="Titre3Car"/>
    <w:unhideWhenUsed/>
    <w:qFormat/>
    <w:rsid w:val="00820E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Amten">
    <w:name w:val="3 Améten"/>
    <w:basedOn w:val="Titre3"/>
    <w:next w:val="Normal"/>
    <w:link w:val="3AmtenCar"/>
    <w:qFormat/>
    <w:rsid w:val="00820EDA"/>
    <w:pPr>
      <w:numPr>
        <w:numId w:val="2"/>
      </w:numPr>
      <w:spacing w:before="200" w:after="120"/>
      <w:ind w:hanging="360"/>
    </w:pPr>
    <w:rPr>
      <w:rFonts w:ascii="Cambria" w:eastAsiaTheme="minorHAnsi" w:hAnsi="Cambria" w:cs="Times New Roman"/>
      <w:b/>
      <w:bCs/>
      <w:color w:val="404040" w:themeColor="text1" w:themeTint="BF"/>
      <w:szCs w:val="22"/>
    </w:rPr>
  </w:style>
  <w:style w:type="character" w:customStyle="1" w:styleId="3AmtenCar">
    <w:name w:val="3 Améten Car"/>
    <w:basedOn w:val="Policepardfaut"/>
    <w:link w:val="3Amten"/>
    <w:rsid w:val="00820EDA"/>
    <w:rPr>
      <w:rFonts w:ascii="Cambria" w:hAnsi="Cambria" w:cs="Times New Roman"/>
      <w:b/>
      <w:bCs/>
      <w:color w:val="404040" w:themeColor="text1" w:themeTint="BF"/>
      <w:sz w:val="24"/>
    </w:rPr>
  </w:style>
  <w:style w:type="character" w:customStyle="1" w:styleId="Titre3Car">
    <w:name w:val="Titre 3 Car"/>
    <w:aliases w:val="heading 2 Car,Titre 2ceafi Car1,CHAP2 Car1,Style 2 Car1,Car1 Car2,nul Car1,Car Car Car Car1 Car Car Car Car1,Car Car Car Car1 Car Car Car2,Titre 2 Car + Avant : 0 cm Car1,Première ligne : 0 cm Car1,Avant : 0 pt Car1,ZS 2 Car1,titre2 Car2"/>
    <w:basedOn w:val="Policepardfaut"/>
    <w:link w:val="Titre3"/>
    <w:rsid w:val="00820EDA"/>
    <w:rPr>
      <w:rFonts w:asciiTheme="majorHAnsi" w:eastAsiaTheme="majorEastAsia" w:hAnsiTheme="majorHAnsi" w:cstheme="majorBidi"/>
      <w:color w:val="1F3763" w:themeColor="accent1" w:themeShade="7F"/>
      <w:sz w:val="24"/>
      <w:szCs w:val="24"/>
    </w:rPr>
  </w:style>
  <w:style w:type="character" w:customStyle="1" w:styleId="Titre1Car">
    <w:name w:val="Titre 1 Car"/>
    <w:aliases w:val="Titre 1ceafi Car,CHAP1 Car,fcv Car,Titre 1bieau Car,Titre 1 Car Car Car Car,Titre 1 Car Car Car1,titre I. Car,Grand titre Car,Titre 1-Grand titre Car1,Titre 1-Grand titre Car Car,Titre I Car,TITRE 1 Car,§1. Car,1. Titre 1 Car,titre1tom Car"/>
    <w:basedOn w:val="Policepardfaut"/>
    <w:link w:val="Titre1"/>
    <w:rsid w:val="0075745F"/>
    <w:rPr>
      <w:rFonts w:ascii="Cambria" w:eastAsia="Times New Roman" w:hAnsi="Cambria" w:cs="Times New Roman"/>
      <w:caps/>
      <w:noProof/>
      <w:color w:val="002060"/>
      <w:spacing w:val="20"/>
      <w:sz w:val="32"/>
      <w:szCs w:val="28"/>
      <w14:ligatures w14:val="none"/>
    </w:rPr>
  </w:style>
  <w:style w:type="character" w:styleId="Lienhypertexte">
    <w:name w:val="Hyperlink"/>
    <w:uiPriority w:val="99"/>
    <w:semiHidden/>
    <w:unhideWhenUsed/>
    <w:rsid w:val="0075745F"/>
    <w:rPr>
      <w:rFonts w:ascii="Arial" w:hAnsi="Arial" w:cs="Arial" w:hint="default"/>
      <w:color w:val="0000CC"/>
      <w:u w:val="single"/>
    </w:rPr>
  </w:style>
  <w:style w:type="character" w:customStyle="1" w:styleId="Titre2Car">
    <w:name w:val="Titre 2 Car"/>
    <w:aliases w:val="Titre 2ceafi Car,CHAP2 Car,Style 2 Car,Car1 Car1,nul Car,Car1 Car,Car Car Car Car1 Car Car Car Car,Car Car Car Car1 Car Car Car1,Titre 2 Car + Avant : 0 cm Car,Première ligne : 0 cm Car,Avant : 0 pt Car,ZS 2 Car,titre2 Car1,Car Car,T2 Car"/>
    <w:basedOn w:val="Policepardfaut"/>
    <w:locked/>
    <w:rsid w:val="0075745F"/>
    <w:rPr>
      <w:rFonts w:ascii="Cambria" w:hAnsi="Cambria" w:hint="default"/>
      <w:b/>
      <w:bCs/>
      <w:color w:val="404040"/>
    </w:rPr>
  </w:style>
  <w:style w:type="paragraph" w:styleId="Paragraphedeliste">
    <w:name w:val="List Paragraph"/>
    <w:aliases w:val="Texte tab,Paragraphe de liste num,Paragraphe de liste 1,Puces 1,Listes,titre,liste 1,6 pt paragraphe carré,alinéa 1,List Paragraph1,Liste puces 2,Paragraphe de liste1,1er niveau,Paragraphe de liste11,Important GRT,List Paragraph,vide"/>
    <w:basedOn w:val="Normal"/>
    <w:link w:val="ParagraphedelisteCar"/>
    <w:uiPriority w:val="34"/>
    <w:qFormat/>
    <w:rsid w:val="0075745F"/>
    <w:pPr>
      <w:ind w:left="720"/>
      <w:contextualSpacing/>
    </w:pPr>
  </w:style>
  <w:style w:type="character" w:customStyle="1" w:styleId="LgendeCar">
    <w:name w:val="Légende Car"/>
    <w:aliases w:val="Légende Car1 Car1,Légende Car1 Car Car,Légende1 Car,Légende Car2 Car Car,Légende Car3 Car,Légende Car Car Car Car,Légende Car1 Car Car Car Car,Légende1 Car Car Car,Légende Car1 Car1 Car Car,Légende Car Car1 Car,Légende Car1 Car Car1 Car"/>
    <w:link w:val="Lgende"/>
    <w:qFormat/>
    <w:locked/>
    <w:rsid w:val="0075745F"/>
    <w:rPr>
      <w:rFonts w:ascii="Calibri" w:eastAsia="Calibri" w:hAnsi="Calibri" w:cs="Times New Roman"/>
      <w:b/>
      <w:bCs/>
      <w:i/>
      <w:sz w:val="20"/>
      <w:szCs w:val="20"/>
    </w:rPr>
  </w:style>
  <w:style w:type="paragraph" w:styleId="Lgende">
    <w:name w:val="caption"/>
    <w:aliases w:val="Légende Car1,Légende Car1 Car,Légende1,Légende Car2 Car,Légende Car3,Légende Car Car Car,Légende Car1 Car Car Car,Légende1 Car Car,Légende Car1 Car1 Car,Légende Car Car1,Légende Car1 Car Car1,Légende1 Car1,Légende Car1 Car2 Car Car,annexes,Annex"/>
    <w:basedOn w:val="Normal"/>
    <w:next w:val="Normal"/>
    <w:link w:val="LgendeCar"/>
    <w:unhideWhenUsed/>
    <w:qFormat/>
    <w:rsid w:val="0075745F"/>
    <w:pPr>
      <w:jc w:val="center"/>
    </w:pPr>
    <w:rPr>
      <w:b/>
      <w:bCs/>
      <w:i/>
      <w:sz w:val="20"/>
      <w:szCs w:val="20"/>
      <w14:ligatures w14:val="standardContextual"/>
    </w:rPr>
  </w:style>
  <w:style w:type="character" w:customStyle="1" w:styleId="ParagraphedelisteCar">
    <w:name w:val="Paragraphe de liste Car"/>
    <w:aliases w:val="Texte tab Car,Paragraphe de liste num Car,Paragraphe de liste 1 Car,Puces 1 Car,Listes Car,titre Car,liste 1 Car,6 pt paragraphe carré Car,alinéa 1 Car,List Paragraph1 Car,Liste puces 2 Car,Paragraphe de liste1 Car,1er niveau Car"/>
    <w:link w:val="Paragraphedeliste"/>
    <w:uiPriority w:val="34"/>
    <w:qFormat/>
    <w:locked/>
    <w:rsid w:val="0075745F"/>
    <w:rPr>
      <w:rFonts w:ascii="Calibri" w:eastAsia="Calibri" w:hAnsi="Calibri" w:cs="Times New Roman"/>
      <w14:ligatures w14:val="none"/>
    </w:rPr>
  </w:style>
  <w:style w:type="paragraph" w:customStyle="1" w:styleId="Titre10">
    <w:name w:val="Titre 10"/>
    <w:basedOn w:val="Normal"/>
    <w:next w:val="Corpsdetexte"/>
    <w:uiPriority w:val="99"/>
    <w:rsid w:val="0075745F"/>
    <w:pPr>
      <w:keepNext/>
      <w:widowControl w:val="0"/>
      <w:numPr>
        <w:numId w:val="3"/>
      </w:numPr>
      <w:tabs>
        <w:tab w:val="num" w:pos="720"/>
      </w:tabs>
      <w:suppressAutoHyphens/>
      <w:spacing w:before="240"/>
      <w:ind w:left="720"/>
      <w:jc w:val="left"/>
    </w:pPr>
    <w:rPr>
      <w:rFonts w:ascii="Times New Roman" w:eastAsia="Microsoft YaHei" w:hAnsi="Times New Roman" w:cs="Mangal"/>
      <w:kern w:val="2"/>
      <w:sz w:val="28"/>
      <w:szCs w:val="28"/>
      <w:lang w:eastAsia="zh-CN" w:bidi="hi-IN"/>
    </w:rPr>
  </w:style>
  <w:style w:type="table" w:styleId="Grilledutableau">
    <w:name w:val="Table Grid"/>
    <w:aliases w:val="GT0,TABLEAU BURGEAP,Grille du tableau-cart,Zchn Zchn Char Zchn Zchn Char Zchn Zchn,Zchn Zchn Char Zchn Zchn Char Char Char Char Zchn Zchn Zchn,Zchn Zchn Char Zchn Zchn Char Zchn Char Zchn Zchn"/>
    <w:basedOn w:val="TableauNormal"/>
    <w:uiPriority w:val="39"/>
    <w:qFormat/>
    <w:rsid w:val="0075745F"/>
    <w:pPr>
      <w:spacing w:after="0" w:line="240" w:lineRule="auto"/>
    </w:pPr>
    <w:rPr>
      <w:rFonts w:ascii="Calibri" w:eastAsia="Calibri" w:hAnsi="Calibri" w:cs="Times New Roman"/>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uiPriority w:val="99"/>
    <w:semiHidden/>
    <w:unhideWhenUsed/>
    <w:rsid w:val="0075745F"/>
  </w:style>
  <w:style w:type="character" w:customStyle="1" w:styleId="CorpsdetexteCar">
    <w:name w:val="Corps de texte Car"/>
    <w:basedOn w:val="Policepardfaut"/>
    <w:link w:val="Corpsdetexte"/>
    <w:uiPriority w:val="99"/>
    <w:semiHidden/>
    <w:rsid w:val="0075745F"/>
    <w:rPr>
      <w:rFonts w:ascii="Calibri" w:eastAsia="Calibri" w:hAnsi="Calibri" w:cs="Times New Roma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735686">
      <w:bodyDiv w:val="1"/>
      <w:marLeft w:val="0"/>
      <w:marRight w:val="0"/>
      <w:marTop w:val="0"/>
      <w:marBottom w:val="0"/>
      <w:divBdr>
        <w:top w:val="none" w:sz="0" w:space="0" w:color="auto"/>
        <w:left w:val="none" w:sz="0" w:space="0" w:color="auto"/>
        <w:bottom w:val="none" w:sz="0" w:space="0" w:color="auto"/>
        <w:right w:val="none" w:sz="0" w:space="0" w:color="auto"/>
      </w:divBdr>
    </w:div>
    <w:div w:id="190048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g.reseau-zones-humides.or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1918</Words>
  <Characters>10553</Characters>
  <Application>Microsoft Office Word</Application>
  <DocSecurity>0</DocSecurity>
  <Lines>87</Lines>
  <Paragraphs>24</Paragraphs>
  <ScaleCrop>false</ScaleCrop>
  <Company/>
  <LinksUpToDate>false</LinksUpToDate>
  <CharactersWithSpaces>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WOJCIK</dc:creator>
  <cp:keywords/>
  <dc:description/>
  <cp:lastModifiedBy>RWO</cp:lastModifiedBy>
  <cp:revision>8</cp:revision>
  <dcterms:created xsi:type="dcterms:W3CDTF">2024-11-05T13:14:00Z</dcterms:created>
  <dcterms:modified xsi:type="dcterms:W3CDTF">2025-08-30T16:24:00Z</dcterms:modified>
</cp:coreProperties>
</file>