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Alec</w:t>
      </w:r>
      <w:r>
        <w:t xml:space="preserve"> </w:t>
      </w:r>
      <w:r>
        <w:t xml:space="preserve">Robitaille,</w:t>
      </w:r>
      <w:r>
        <w:t xml:space="preserve"> </w:t>
      </w:r>
      <w:r>
        <w:t xml:space="preserve">Quinn</w:t>
      </w:r>
      <w:r>
        <w:t xml:space="preserve"> </w:t>
      </w:r>
      <w:r>
        <w:t xml:space="preserve">M.R.</w:t>
      </w:r>
      <w:r>
        <w:t xml:space="preserve"> </w:t>
      </w:r>
      <w:r>
        <w:t xml:space="preserve">Webber,</w:t>
      </w:r>
      <w:r>
        <w:t xml:space="preserve"> </w:t>
      </w:r>
      <w:r>
        <w:t xml:space="preserve">Julie</w:t>
      </w:r>
      <w:r>
        <w:t xml:space="preserve"> </w:t>
      </w:r>
      <w:r>
        <w:t xml:space="preserve">Turner</w:t>
      </w:r>
      <w:r>
        <w:t xml:space="preserve"> </w:t>
      </w:r>
      <w:r>
        <w:t xml:space="preserve">and</w:t>
      </w:r>
      <w:r>
        <w:t xml:space="preserve"> </w:t>
      </w:r>
      <w:r>
        <w:t xml:space="preserve">Eric</w:t>
      </w:r>
      <w:r>
        <w:t xml:space="preserve"> </w:t>
      </w:r>
      <w:r>
        <w:t xml:space="preserve">Vander</w:t>
      </w:r>
      <w:r>
        <w:t xml:space="preserve"> </w:t>
      </w:r>
      <w:r>
        <w:t xml:space="preserve">Wal</w:t>
      </w:r>
    </w:p>
    <w:p>
      <w:pPr>
        <w:pStyle w:val="Date"/>
      </w:pPr>
      <w:r>
        <w:t xml:space="preserve">2019-09-27</w:t>
      </w:r>
    </w:p>
    <w:p>
      <w:pPr>
        <w:pStyle w:val="Heading3"/>
      </w:pPr>
      <w:bookmarkStart w:id="20" w:name="table-1"/>
      <w:r>
        <w:t xml:space="preserve">Table 1</w:t>
      </w:r>
      <w:bookmarkEnd w:id="20"/>
    </w:p>
    <w:p>
      <w:pPr>
        <w:pStyle w:val="FirstParagraph"/>
      </w:pPr>
      <w:r>
        <w:t xml:space="preserve">Multilayer networks are composed of layers, nodes and edges. Layers represent different types of relationships (e.g.: grooming or association), types of entities (e.g.: male and female, or different species), and spatial locations (e.g.: landcover type, patch)</w:t>
      </w:r>
      <w:r>
        <w:t xml:space="preserve"> </w:t>
      </w:r>
      <w:r>
        <w:t xml:space="preserve">[1]</w:t>
      </w:r>
      <w:r>
        <w:t xml:space="preserve">. Nodes represent individual entities in the network, connected by some association or relationship with edges. Interlayer edges connect layers to other layers or individuals across layers. Intralayer edges connect individuals to other individuals within a layer. In Table 1, we describe three types of multilayer networks that incorporate spatial variables: spatially explicit networks, networks of networks and interspecific networks. Other types of networks, such as intercontexual networks or temporal networks, are likely only to incorporate spatial variables in a hybrid multilayer network and relevant considerations will be detailed here.</w:t>
      </w:r>
    </w:p>
    <w:tbl>
      <w:tblPr>
        <w:tblStyle w:val="Table"/>
        <w:tblW w:type="pct" w:w="4999.999999999999"/>
        <w:tblLook w:firstRow="1"/>
      </w:tblPr>
      <w:tblGrid>
        <w:gridCol w:w="183"/>
        <w:gridCol w:w="2578"/>
        <w:gridCol w:w="2578"/>
        <w:gridCol w:w="2578"/>
      </w:tblGrid>
      <w:tr>
        <w:trPr>
          <w:cnfStyle w:firstRow="1"/>
        </w:trPr>
        <w:tc>
          <w:tcPr>
            <w:tcBorders>
              <w:bottom w:val="single"/>
            </w:tcBorders>
            <w:vAlign w:val="bottom"/>
          </w:tcPr>
          <w:p>
            <w:pPr>
              <w:pStyle w:val="Compact"/>
              <w:jc w:val="left"/>
            </w:pPr>
            <w:r>
              <w:t xml:space="preserve">Type of network</w:t>
            </w:r>
          </w:p>
        </w:tc>
        <w:tc>
          <w:tcPr>
            <w:tcBorders>
              <w:bottom w:val="single"/>
            </w:tcBorders>
            <w:vAlign w:val="bottom"/>
          </w:tcPr>
          <w:p>
            <w:pPr>
              <w:pStyle w:val="Compact"/>
              <w:jc w:val="left"/>
            </w:pPr>
            <w:r>
              <w:t xml:space="preserve">Spatial network</w:t>
            </w:r>
          </w:p>
        </w:tc>
        <w:tc>
          <w:tcPr>
            <w:tcBorders>
              <w:bottom w:val="single"/>
            </w:tcBorders>
            <w:vAlign w:val="bottom"/>
          </w:tcPr>
          <w:p>
            <w:pPr>
              <w:pStyle w:val="Compact"/>
              <w:jc w:val="left"/>
            </w:pPr>
            <w:r>
              <w:t xml:space="preserve">Network of networks</w:t>
            </w:r>
          </w:p>
        </w:tc>
        <w:tc>
          <w:tcPr>
            <w:tcBorders>
              <w:bottom w:val="single"/>
            </w:tcBorders>
            <w:vAlign w:val="bottom"/>
          </w:tcPr>
          <w:p>
            <w:pPr>
              <w:pStyle w:val="Compact"/>
              <w:jc w:val="left"/>
            </w:pPr>
            <w:r>
              <w:t xml:space="preserve">Interspecific network</w:t>
            </w:r>
          </w:p>
        </w:tc>
      </w:tr>
      <w:tr>
        <w:tc>
          <w:p>
            <w:pPr>
              <w:pStyle w:val="Compact"/>
              <w:jc w:val="left"/>
            </w:pPr>
            <w:r>
              <w:t xml:space="preserve">Layer</w:t>
            </w:r>
          </w:p>
        </w:tc>
        <w:tc>
          <w:p>
            <w:pPr>
              <w:pStyle w:val="Compact"/>
              <w:jc w:val="left"/>
            </w:pPr>
            <w:r>
              <w:t xml:space="preserve">Defined by spatially explicit areas (e.g. discrete patches, landcover classes)</w:t>
            </w:r>
          </w:p>
        </w:tc>
        <w:tc>
          <w:p>
            <w:pPr>
              <w:pStyle w:val="Compact"/>
              <w:jc w:val="left"/>
            </w:pPr>
            <w:r>
              <w:t xml:space="preserve">Defined by sub-networks (e.g.: subpopulations, communities, fuzzy patches)</w:t>
            </w:r>
          </w:p>
        </w:tc>
        <w:tc>
          <w:p>
            <w:pPr>
              <w:pStyle w:val="Compact"/>
              <w:jc w:val="left"/>
            </w:pPr>
            <w:r>
              <w:t xml:space="preserve">Defined by different species</w:t>
            </w:r>
          </w:p>
        </w:tc>
      </w:tr>
      <w:tr>
        <w:tc>
          <w:p>
            <w:pPr>
              <w:pStyle w:val="Compact"/>
              <w:jc w:val="left"/>
            </w:pPr>
            <w:r>
              <w:t xml:space="preserve">Nodes</w:t>
            </w:r>
          </w:p>
        </w:tc>
        <w:tc>
          <w:p>
            <w:pPr>
              <w:pStyle w:val="Compact"/>
              <w:jc w:val="left"/>
            </w:pPr>
            <w:r>
              <w:t xml:space="preserve">• Individuals</w:t>
            </w:r>
            <w:r>
              <w:t xml:space="preserve"> </w:t>
            </w:r>
            <w:r>
              <w:t xml:space="preserve"> </w:t>
            </w:r>
            <w:r>
              <w:t xml:space="preserve">• Spatially explicit layers</w:t>
            </w:r>
          </w:p>
        </w:tc>
        <w:tc>
          <w:p>
            <w:pPr>
              <w:pStyle w:val="Compact"/>
              <w:jc w:val="left"/>
            </w:pPr>
            <w:r>
              <w:t xml:space="preserve">• Individuals</w:t>
            </w:r>
            <w:r>
              <w:t xml:space="preserve"> </w:t>
            </w:r>
            <w:r>
              <w:t xml:space="preserve"> </w:t>
            </w:r>
            <w:r>
              <w:t xml:space="preserve">• Sub-network layers</w:t>
            </w:r>
          </w:p>
        </w:tc>
        <w:tc>
          <w:p>
            <w:pPr>
              <w:pStyle w:val="Compact"/>
              <w:jc w:val="left"/>
            </w:pPr>
            <w:r>
              <w:t xml:space="preserve">• Individuals</w:t>
            </w:r>
            <w:r>
              <w:t xml:space="preserve"> </w:t>
            </w:r>
            <w:r>
              <w:t xml:space="preserve"> </w:t>
            </w:r>
            <w:r>
              <w:t xml:space="preserve">• Species-specific layers</w:t>
            </w:r>
          </w:p>
        </w:tc>
      </w:tr>
      <w:tr>
        <w:tc>
          <w:p>
            <w:pPr>
              <w:pStyle w:val="Compact"/>
              <w:jc w:val="left"/>
            </w:pPr>
            <w:r>
              <w:t xml:space="preserve">Interlayer edges</w:t>
            </w:r>
          </w:p>
        </w:tc>
        <w:tc>
          <w:p>
            <w:pPr>
              <w:pStyle w:val="Compact"/>
              <w:jc w:val="left"/>
            </w:pPr>
            <w:r>
              <w:t xml:space="preserve">• Connect individuals to themselves across layers</w:t>
            </w:r>
            <w:r>
              <w:t xml:space="preserve"> </w:t>
            </w:r>
            <w:r>
              <w:t xml:space="preserve"> </w:t>
            </w:r>
            <w:r>
              <w:t xml:space="preserve">• Connect spatially explicit layers to each other (e.g.: defined by euclidean distance)</w:t>
            </w:r>
          </w:p>
        </w:tc>
        <w:tc>
          <w:p>
            <w:pPr>
              <w:pStyle w:val="Compact"/>
              <w:jc w:val="left"/>
            </w:pPr>
            <w:r>
              <w:t xml:space="preserve">• Connect different individuals across sub-networks</w:t>
            </w:r>
            <w:r>
              <w:t xml:space="preserve"> </w:t>
            </w:r>
            <w:r>
              <w:t xml:space="preserve"> </w:t>
            </w:r>
            <w:r>
              <w:t xml:space="preserve">• Connect sub-networks to each other</w:t>
            </w:r>
          </w:p>
        </w:tc>
        <w:tc>
          <w:p>
            <w:pPr>
              <w:pStyle w:val="Compact"/>
              <w:jc w:val="left"/>
            </w:pPr>
            <w:r>
              <w:t xml:space="preserve">• Connect individuals across species layers</w:t>
            </w:r>
            <w:r>
              <w:t xml:space="preserve"> </w:t>
            </w:r>
            <w:r>
              <w:t xml:space="preserve"> </w:t>
            </w:r>
            <w:r>
              <w:t xml:space="preserve">• Connect species layers to each other</w:t>
            </w:r>
          </w:p>
        </w:tc>
      </w:tr>
      <w:tr>
        <w:tc>
          <w:p>
            <w:pPr>
              <w:pStyle w:val="Compact"/>
              <w:jc w:val="left"/>
            </w:pPr>
            <w:r>
              <w:t xml:space="preserve">Intralayer edges</w:t>
            </w:r>
          </w:p>
        </w:tc>
        <w:tc>
          <w:p>
            <w:pPr>
              <w:pStyle w:val="Compact"/>
              <w:jc w:val="left"/>
            </w:pPr>
            <w:r>
              <w:t xml:space="preserve">• Connect individuals within spatially explicit layer</w:t>
            </w:r>
          </w:p>
        </w:tc>
        <w:tc>
          <w:p>
            <w:pPr>
              <w:pStyle w:val="Compact"/>
              <w:jc w:val="left"/>
            </w:pPr>
            <w:r>
              <w:t xml:space="preserve">• Connect individuals within sub-network</w:t>
            </w:r>
          </w:p>
        </w:tc>
        <w:tc>
          <w:p>
            <w:pPr>
              <w:pStyle w:val="Compact"/>
              <w:jc w:val="left"/>
            </w:pPr>
            <w:r>
              <w:t xml:space="preserve">• Connect individuals within species layers</w:t>
            </w:r>
          </w:p>
        </w:tc>
      </w:tr>
      <w:tr>
        <w:tc>
          <w:p>
            <w:pPr>
              <w:pStyle w:val="Compact"/>
              <w:jc w:val="left"/>
            </w:pPr>
            <w:r>
              <w:t xml:space="preserve">Social grain</w:t>
            </w:r>
          </w:p>
        </w:tc>
        <w:tc>
          <w:p>
            <w:pPr>
              <w:pStyle w:val="Compact"/>
              <w:jc w:val="left"/>
            </w:pPr>
            <w:r>
              <w:t xml:space="preserve">• Type of interaction between individuals</w:t>
            </w:r>
            <w:r>
              <w:t xml:space="preserve"> </w:t>
            </w:r>
            <w:r>
              <w:t xml:space="preserve">[2,3]</w:t>
            </w:r>
            <w:r>
              <w:t xml:space="preserve"> </w:t>
            </w:r>
            <w:r>
              <w:t xml:space="preserve">• Chain rule</w:t>
            </w:r>
            <w:r>
              <w:t xml:space="preserve"> </w:t>
            </w:r>
            <w:r>
              <w:t xml:space="preserve">[4]</w:t>
            </w:r>
            <w:r>
              <w:t xml:space="preserve"> </w:t>
            </w:r>
            <w:r>
              <w:t xml:space="preserve">• Definition of social association</w:t>
            </w:r>
            <w:r>
              <w:t xml:space="preserve"> </w:t>
            </w:r>
            <w:r>
              <w:t xml:space="preserve">[5]</w:t>
            </w:r>
            <w:r>
              <w:t xml:space="preserve"> </w:t>
            </w:r>
            <w:r>
              <w:t xml:space="preserve">• Temporal window of social interactions</w:t>
            </w:r>
            <w:r>
              <w:t xml:space="preserve"> </w:t>
            </w:r>
            <w:r>
              <w:t xml:space="preserve">[6]</w:t>
            </w:r>
          </w:p>
        </w:tc>
        <w:tc>
          <w:p>
            <w:pPr>
              <w:pStyle w:val="Compact"/>
              <w:jc w:val="left"/>
            </w:pPr>
            <w:r>
              <w:t xml:space="preserve">• Type of interaction between individuals</w:t>
            </w:r>
            <w:r>
              <w:t xml:space="preserve"> </w:t>
            </w:r>
            <w:r>
              <w:t xml:space="preserve">[2,3]</w:t>
            </w:r>
            <w:r>
              <w:t xml:space="preserve"> </w:t>
            </w:r>
            <w:r>
              <w:t xml:space="preserve">• Chain rule</w:t>
            </w:r>
            <w:r>
              <w:t xml:space="preserve"> </w:t>
            </w:r>
            <w:r>
              <w:t xml:space="preserve">[4]</w:t>
            </w:r>
            <w:r>
              <w:t xml:space="preserve"> </w:t>
            </w:r>
            <w:r>
              <w:t xml:space="preserve">• Definition of social association</w:t>
            </w:r>
            <w:r>
              <w:t xml:space="preserve"> </w:t>
            </w:r>
            <w:r>
              <w:t xml:space="preserve">[5]</w:t>
            </w:r>
            <w:r>
              <w:t xml:space="preserve"> </w:t>
            </w:r>
            <w:r>
              <w:t xml:space="preserve">• Temporal window of social interactions</w:t>
            </w:r>
            <w:r>
              <w:t xml:space="preserve"> </w:t>
            </w:r>
            <w:r>
              <w:t xml:space="preserve">[6]</w:t>
            </w:r>
          </w:p>
        </w:tc>
        <w:tc>
          <w:p>
            <w:pPr>
              <w:pStyle w:val="Compact"/>
              <w:jc w:val="left"/>
            </w:pPr>
            <w:r>
              <w:t xml:space="preserve">• Type of interaction between individuals</w:t>
            </w:r>
            <w:r>
              <w:t xml:space="preserve"> </w:t>
            </w:r>
            <w:r>
              <w:t xml:space="preserve">[2,3]</w:t>
            </w:r>
            <w:r>
              <w:t xml:space="preserve"> </w:t>
            </w:r>
            <w:r>
              <w:t xml:space="preserve">• Chain rule</w:t>
            </w:r>
            <w:r>
              <w:t xml:space="preserve"> </w:t>
            </w:r>
            <w:r>
              <w:t xml:space="preserve">[4]</w:t>
            </w:r>
            <w:r>
              <w:t xml:space="preserve"> </w:t>
            </w:r>
            <w:r>
              <w:t xml:space="preserve">• Definition of social association</w:t>
            </w:r>
            <w:r>
              <w:t xml:space="preserve"> </w:t>
            </w:r>
            <w:r>
              <w:t xml:space="preserve">[5]</w:t>
            </w:r>
            <w:r>
              <w:t xml:space="preserve"> </w:t>
            </w:r>
            <w:r>
              <w:t xml:space="preserve">• Temporal window of social interactions</w:t>
            </w:r>
            <w:r>
              <w:t xml:space="preserve"> </w:t>
            </w:r>
            <w:r>
              <w:t xml:space="preserve">[6]</w:t>
            </w:r>
          </w:p>
        </w:tc>
      </w:tr>
      <w:tr>
        <w:tc>
          <w:p>
            <w:pPr>
              <w:pStyle w:val="Compact"/>
              <w:jc w:val="left"/>
            </w:pPr>
            <w:r>
              <w:t xml:space="preserve">Spatial grain</w:t>
            </w:r>
          </w:p>
        </w:tc>
        <w:tc>
          <w:p>
            <w:pPr>
              <w:pStyle w:val="Compact"/>
              <w:jc w:val="left"/>
            </w:pPr>
            <w:r>
              <w:t xml:space="preserve">• Spatial resolution of landcover</w:t>
            </w:r>
            <w:r>
              <w:t xml:space="preserve"> </w:t>
            </w:r>
            <w:r>
              <w:t xml:space="preserve">• Spatiotemporal grouping threshold</w:t>
            </w:r>
            <w:r>
              <w:t xml:space="preserve"> </w:t>
            </w:r>
            <w:r>
              <w:t xml:space="preserve">[7]</w:t>
            </w:r>
          </w:p>
        </w:tc>
        <w:tc>
          <w:p>
            <w:pPr>
              <w:pStyle w:val="Compact"/>
              <w:jc w:val="left"/>
            </w:pPr>
            <w:r>
              <w:t xml:space="preserve">• Number of fuzzy patches</w:t>
            </w:r>
            <w:r>
              <w:t xml:space="preserve"> </w:t>
            </w:r>
            <w:r>
              <w:t xml:space="preserve">• Spatial definition of subpopulations and communities</w:t>
            </w:r>
          </w:p>
        </w:tc>
        <w:tc>
          <w:p>
            <w:pPr>
              <w:pStyle w:val="Compact"/>
              <w:jc w:val="left"/>
            </w:pPr>
            <w:r>
              <w:t xml:space="preserve">• Spatial connectivity</w:t>
            </w:r>
          </w:p>
        </w:tc>
      </w:tr>
      <w:tr>
        <w:tc>
          <w:p>
            <w:pPr>
              <w:pStyle w:val="Compact"/>
              <w:jc w:val="left"/>
            </w:pPr>
            <w:r>
              <w:t xml:space="preserve">Examples</w:t>
            </w:r>
          </w:p>
        </w:tc>
        <w:tc>
          <w:p>
            <w:pPr>
              <w:pStyle w:val="Compact"/>
              <w:jc w:val="left"/>
            </w:pPr>
            <w:r>
              <w:t xml:space="preserve">todo</w:t>
            </w:r>
          </w:p>
        </w:tc>
        <w:tc>
          <w:p>
            <w:pPr>
              <w:pStyle w:val="Compact"/>
              <w:jc w:val="left"/>
            </w:pPr>
            <w:r>
              <w:t xml:space="preserve">todo</w:t>
            </w:r>
          </w:p>
        </w:tc>
        <w:tc>
          <w:p>
            <w:pPr>
              <w:pStyle w:val="Compact"/>
              <w:jc w:val="left"/>
            </w:pPr>
            <w:r>
              <w:t xml:space="preserve">[8–10]</w:t>
            </w:r>
          </w:p>
        </w:tc>
      </w:tr>
      <w:tr>
        <w:tc>
          <w:p>
            <w:pPr>
              <w:pStyle w:val="Compact"/>
              <w:jc w:val="left"/>
            </w:pPr>
            <w:r>
              <w:t xml:space="preserve">Image</w:t>
            </w:r>
          </w:p>
        </w:tc>
        <w:tc>
          <w:p>
            <w:pPr>
              <w:pStyle w:val="Compact"/>
              <w:jc w:val="left"/>
            </w:pPr>
            <w:r>
              <w:drawing>
                <wp:inline>
                  <wp:extent cx="7772400" cy="4446709"/>
                  <wp:effectExtent b="0" l="0" r="0" t="0"/>
                  <wp:docPr descr="" title="" id="1" name="Picture"/>
                  <a:graphic>
                    <a:graphicData uri="http://schemas.openxmlformats.org/drawingml/2006/picture">
                      <pic:pic>
                        <pic:nvPicPr>
                          <pic:cNvPr descr="../graphics/sp.png" id="0" name="Picture"/>
                          <pic:cNvPicPr>
                            <a:picLocks noChangeArrowheads="1" noChangeAspect="1"/>
                          </pic:cNvPicPr>
                        </pic:nvPicPr>
                        <pic:blipFill>
                          <a:blip r:embed="rId21"/>
                          <a:stretch>
                            <a:fillRect/>
                          </a:stretch>
                        </pic:blipFill>
                        <pic:spPr bwMode="auto">
                          <a:xfrm>
                            <a:off x="0" y="0"/>
                            <a:ext cx="7772400" cy="4446709"/>
                          </a:xfrm>
                          <a:prstGeom prst="rect">
                            <a:avLst/>
                          </a:prstGeom>
                          <a:noFill/>
                          <a:ln w="9525">
                            <a:noFill/>
                            <a:headEnd/>
                            <a:tailEnd/>
                          </a:ln>
                        </pic:spPr>
                      </pic:pic>
                    </a:graphicData>
                  </a:graphic>
                </wp:inline>
              </w:drawing>
            </w:r>
          </w:p>
        </w:tc>
        <w:tc>
          <w:p>
            <w:pPr>
              <w:pStyle w:val="Compact"/>
              <w:jc w:val="left"/>
            </w:pPr>
            <w:r>
              <w:drawing>
                <wp:inline>
                  <wp:extent cx="3428235" cy="1486282"/>
                  <wp:effectExtent b="0" l="0" r="0" t="0"/>
                  <wp:docPr descr="" title="" id="1" name="Picture"/>
                  <a:graphic>
                    <a:graphicData uri="http://schemas.openxmlformats.org/drawingml/2006/picture">
                      <pic:pic>
                        <pic:nvPicPr>
                          <pic:cNvPr descr="../graphics/netsnets.png" id="0" name="Picture"/>
                          <pic:cNvPicPr>
                            <a:picLocks noChangeArrowheads="1" noChangeAspect="1"/>
                          </pic:cNvPicPr>
                        </pic:nvPicPr>
                        <pic:blipFill>
                          <a:blip r:embed="rId22"/>
                          <a:stretch>
                            <a:fillRect/>
                          </a:stretch>
                        </pic:blipFill>
                        <pic:spPr bwMode="auto">
                          <a:xfrm>
                            <a:off x="0" y="0"/>
                            <a:ext cx="3428235" cy="1486282"/>
                          </a:xfrm>
                          <a:prstGeom prst="rect">
                            <a:avLst/>
                          </a:prstGeom>
                          <a:noFill/>
                          <a:ln w="9525">
                            <a:noFill/>
                            <a:headEnd/>
                            <a:tailEnd/>
                          </a:ln>
                        </pic:spPr>
                      </pic:pic>
                    </a:graphicData>
                  </a:graphic>
                </wp:inline>
              </w:drawing>
            </w:r>
          </w:p>
        </w:tc>
        <w:tc>
          <w:p>
            <w:pPr>
              <w:pStyle w:val="Compact"/>
              <w:jc w:val="left"/>
            </w:pPr>
            <w:r>
              <w:drawing>
                <wp:inline>
                  <wp:extent cx="7772400" cy="5510283"/>
                  <wp:effectExtent b="0" l="0" r="0" t="0"/>
                  <wp:docPr descr="" title="" id="1" name="Picture"/>
                  <a:graphic>
                    <a:graphicData uri="http://schemas.openxmlformats.org/drawingml/2006/picture">
                      <pic:pic>
                        <pic:nvPicPr>
                          <pic:cNvPr descr="../graphics/multispecies.png" id="0" name="Picture"/>
                          <pic:cNvPicPr>
                            <a:picLocks noChangeArrowheads="1" noChangeAspect="1"/>
                          </pic:cNvPicPr>
                        </pic:nvPicPr>
                        <pic:blipFill>
                          <a:blip r:embed="rId23"/>
                          <a:stretch>
                            <a:fillRect/>
                          </a:stretch>
                        </pic:blipFill>
                        <pic:spPr bwMode="auto">
                          <a:xfrm>
                            <a:off x="0" y="0"/>
                            <a:ext cx="7772400" cy="5510283"/>
                          </a:xfrm>
                          <a:prstGeom prst="rect">
                            <a:avLst/>
                          </a:prstGeom>
                          <a:noFill/>
                          <a:ln w="9525">
                            <a:noFill/>
                            <a:headEnd/>
                            <a:tailEnd/>
                          </a:ln>
                        </pic:spPr>
                      </pic:pic>
                    </a:graphicData>
                  </a:graphic>
                </wp:inline>
              </w:drawing>
            </w:r>
          </w:p>
        </w:tc>
      </w:tr>
    </w:tbl>
    <w:p>
      <w:pPr>
        <w:pStyle w:val="Heading1"/>
      </w:pPr>
      <w:bookmarkStart w:id="24" w:name="references"/>
      <w:r>
        <w:t xml:space="preserve">References</w:t>
      </w:r>
      <w:bookmarkEnd w:id="24"/>
    </w:p>
    <w:bookmarkStart w:id="43" w:name="refs"/>
    <w:bookmarkStart w:id="26" w:name="ref-pilosof2017"/>
    <w:p>
      <w:pPr>
        <w:pStyle w:val="Bibliography"/>
      </w:pPr>
      <w:r>
        <w:t xml:space="preserve">[1] Pilosof S, Porter MA, Pascual M, Kéfi S. The multilayer nature of ecological networks. Nature Ecology &amp; Evolution 2017;1. doi:</w:t>
      </w:r>
      <w:hyperlink r:id="rId25">
        <w:r>
          <w:rPr>
            <w:rStyle w:val="Hyperlink"/>
          </w:rPr>
          <w:t xml:space="preserve">10.1038/s41559-017-0101</w:t>
        </w:r>
      </w:hyperlink>
      <w:r>
        <w:t xml:space="preserve">.</w:t>
      </w:r>
    </w:p>
    <w:bookmarkEnd w:id="26"/>
    <w:bookmarkStart w:id="27" w:name="ref-dale2017applying"/>
    <w:p>
      <w:pPr>
        <w:pStyle w:val="Bibliography"/>
      </w:pPr>
      <w:r>
        <w:t xml:space="preserve">[2] Dale MRT. Applying graph theory in ecological research. Cambridge University Press; 2017.</w:t>
      </w:r>
    </w:p>
    <w:bookmarkEnd w:id="27"/>
    <w:bookmarkStart w:id="29" w:name="ref-finn2019"/>
    <w:p>
      <w:pPr>
        <w:pStyle w:val="Bibliography"/>
      </w:pPr>
      <w:r>
        <w:t xml:space="preserve">[3] Finn KR, Silk MJ, Porter MA, Pinter-Wollman N. The use of multilayer network analysis in animal behaviour. Animal Behaviour 2019;149:7–22. doi:</w:t>
      </w:r>
      <w:hyperlink r:id="rId28">
        <w:r>
          <w:rPr>
            <w:rStyle w:val="Hyperlink"/>
          </w:rPr>
          <w:t xml:space="preserve">10.1016/j.anbehav.2018.12.016</w:t>
        </w:r>
      </w:hyperlink>
      <w:r>
        <w:t xml:space="preserve">.</w:t>
      </w:r>
    </w:p>
    <w:bookmarkEnd w:id="29"/>
    <w:bookmarkStart w:id="30" w:name="ref-croft2008"/>
    <w:p>
      <w:pPr>
        <w:pStyle w:val="Bibliography"/>
      </w:pPr>
      <w:r>
        <w:t xml:space="preserve">[4] Croft DP, James R, Krause J. Exploring Animal Social Networks. Princeton University Press; 2008.</w:t>
      </w:r>
    </w:p>
    <w:bookmarkEnd w:id="30"/>
    <w:bookmarkStart w:id="32" w:name="ref-farine2015"/>
    <w:p>
      <w:pPr>
        <w:pStyle w:val="Bibliography"/>
      </w:pPr>
      <w:r>
        <w:t xml:space="preserve">[5] Farine DR. Proximity as a proxy for interactions: Issues of scale in social network analysis. Animal Behaviour 2015;104:e1–5. doi:</w:t>
      </w:r>
      <w:hyperlink r:id="rId31">
        <w:r>
          <w:rPr>
            <w:rStyle w:val="Hyperlink"/>
          </w:rPr>
          <w:t xml:space="preserve">10.1016/j.anbehav.2014.11.019</w:t>
        </w:r>
      </w:hyperlink>
      <w:r>
        <w:t xml:space="preserve">.</w:t>
      </w:r>
    </w:p>
    <w:bookmarkEnd w:id="32"/>
    <w:bookmarkStart w:id="34" w:name="ref-cantor2012"/>
    <w:p>
      <w:pPr>
        <w:pStyle w:val="Bibliography"/>
      </w:pPr>
      <w:r>
        <w:t xml:space="preserve">[6] Cantor M, Wedekin LL, Guimarães PR, Daura-Jorge FG, Rossi-Santos MR, Simões-Lopes PC. Disentangling social networks from spatiotemporal dynamics: The temporal structure of a dolphin society. Animal Behaviour 2012;84:641–51. doi:</w:t>
      </w:r>
      <w:hyperlink r:id="rId33">
        <w:r>
          <w:rPr>
            <w:rStyle w:val="Hyperlink"/>
          </w:rPr>
          <w:t xml:space="preserve">10.1016/j.anbehav.2012.06.019</w:t>
        </w:r>
      </w:hyperlink>
      <w:r>
        <w:t xml:space="preserve">.</w:t>
      </w:r>
    </w:p>
    <w:bookmarkEnd w:id="34"/>
    <w:bookmarkStart w:id="36" w:name="ref-robitaille2019"/>
    <w:p>
      <w:pPr>
        <w:pStyle w:val="Bibliography"/>
      </w:pPr>
      <w:r>
        <w:t xml:space="preserve">[7] Robitaille AL, Webber QMR, Vander Wal E. Conducting social network analysis with animal telemetry data: Applications and methods using spatsoc. Methods in Ecology and Evolution 2019;10:1203–11. doi:</w:t>
      </w:r>
      <w:hyperlink r:id="rId35">
        <w:r>
          <w:rPr>
            <w:rStyle w:val="Hyperlink"/>
          </w:rPr>
          <w:t xml:space="preserve">10.1111/2041-210X.13215</w:t>
        </w:r>
      </w:hyperlink>
      <w:r>
        <w:t xml:space="preserve">.</w:t>
      </w:r>
    </w:p>
    <w:bookmarkEnd w:id="36"/>
    <w:bookmarkStart w:id="38" w:name="ref-farine2012"/>
    <w:p>
      <w:pPr>
        <w:pStyle w:val="Bibliography"/>
      </w:pPr>
      <w:r>
        <w:t xml:space="preserve">[8] Farine DR, Garroway CJ, Sheldon BC. Social network analysis of mixed-species flocks: Exploring the structure and evolution of interspecific social behaviour. Animal Behaviour 2012;84:1271–7. doi:</w:t>
      </w:r>
      <w:hyperlink r:id="rId37">
        <w:r>
          <w:rPr>
            <w:rStyle w:val="Hyperlink"/>
          </w:rPr>
          <w:t xml:space="preserve">10.1016/j.anbehav.2012.08.008</w:t>
        </w:r>
      </w:hyperlink>
      <w:r>
        <w:t xml:space="preserve">.</w:t>
      </w:r>
    </w:p>
    <w:bookmarkEnd w:id="38"/>
    <w:bookmarkStart w:id="40" w:name="ref-kefi2016"/>
    <w:p>
      <w:pPr>
        <w:pStyle w:val="Bibliography"/>
      </w:pPr>
      <w:r>
        <w:t xml:space="preserve">[9] Kéfi S, Miele V, Wieters EA, Navarrete SA, Berlow EL. How Structured Is the Entangled Bank? The Surprisingly Simple Organization of Multiplex Ecological Networks Leads to Increased Persistence and Resilience. PLOS Biology 2016;14:e1002527. doi:</w:t>
      </w:r>
      <w:hyperlink r:id="rId39">
        <w:r>
          <w:rPr>
            <w:rStyle w:val="Hyperlink"/>
          </w:rPr>
          <w:t xml:space="preserve">10.1371/journal.pbio.1002527</w:t>
        </w:r>
      </w:hyperlink>
      <w:r>
        <w:t xml:space="preserve">.</w:t>
      </w:r>
    </w:p>
    <w:bookmarkEnd w:id="40"/>
    <w:bookmarkStart w:id="42" w:name="ref-courbin2014"/>
    <w:p>
      <w:pPr>
        <w:pStyle w:val="Bibliography"/>
      </w:pPr>
      <w:r>
        <w:t xml:space="preserve">[10] Courbin N, Fortin D, Dussault C, Courtois R. Logging-induced changes in habitat network connectivity shape behavioral interactions in the wolfCaribouMoose system. Ecological Monographs 2014;84:265–85. doi:</w:t>
      </w:r>
      <w:hyperlink r:id="rId41">
        <w:r>
          <w:rPr>
            <w:rStyle w:val="Hyperlink"/>
          </w:rPr>
          <w:t xml:space="preserve">10.1890/12-2118.1</w:t>
        </w:r>
      </w:hyperlink>
      <w:r>
        <w:t xml:space="preserve">.</w:t>
      </w:r>
    </w:p>
    <w:bookmarkEnd w:id="42"/>
    <w:bookmarkEnd w:id="43"/>
    <w:sectPr>
      <w:footerReference w:type="default" r:id="rId9"/>
      <w:type w:val="nextPage"/>
      <w:pgSz w:orient="landscape" w:w="15840" w:h="122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198"/>
      <w:ind w:left="0" w:right="0" w:hanging="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auto"/>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Courier New" w:hAnsi="Courier New"/>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name w:val="Preformatted Text"/>
    <w:basedOn w:val="Normal"/>
    <w:qFormat/>
    <w:pPr>
      <w:spacing w:before="0" w:after="0"/>
    </w:pPr>
    <w:rPr>
      <w:rFonts w:ascii="Courier New" w:hAnsi="Courier New" w:eastAsia="Liberation Mono" w:cs="Liberation Mono"/>
      <w:sz w:val="20"/>
      <w:szCs w:val="2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33" Target="https://doi.org/10.1016/j.anbehav.2012.06.019" TargetMode="External" /><Relationship Type="http://schemas.openxmlformats.org/officeDocument/2006/relationships/hyperlink" Id="rId37" Target="https://doi.org/10.1016/j.anbehav.2012.08.008" TargetMode="External" /><Relationship Type="http://schemas.openxmlformats.org/officeDocument/2006/relationships/hyperlink" Id="rId31" Target="https://doi.org/10.1016/j.anbehav.2014.11.019" TargetMode="External" /><Relationship Type="http://schemas.openxmlformats.org/officeDocument/2006/relationships/hyperlink" Id="rId28" Target="https://doi.org/10.1016/j.anbehav.2018.12.016" TargetMode="External" /><Relationship Type="http://schemas.openxmlformats.org/officeDocument/2006/relationships/hyperlink" Id="rId25" Target="https://doi.org/10.1038/s41559-017-0101" TargetMode="External" /><Relationship Type="http://schemas.openxmlformats.org/officeDocument/2006/relationships/hyperlink" Id="rId35" Target="https://doi.org/10.1111/2041-210X.13215" TargetMode="External" /><Relationship Type="http://schemas.openxmlformats.org/officeDocument/2006/relationships/hyperlink" Id="rId39" Target="https://doi.org/10.1371/journal.pbio.1002527" TargetMode="External" /><Relationship Type="http://schemas.openxmlformats.org/officeDocument/2006/relationships/hyperlink" Id="rId41" Target="https://doi.org/10.1890/12-2118.1"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16/j.anbehav.2012.06.019" TargetMode="External" /><Relationship Type="http://schemas.openxmlformats.org/officeDocument/2006/relationships/hyperlink" Id="rId37" Target="https://doi.org/10.1016/j.anbehav.2012.08.008" TargetMode="External" /><Relationship Type="http://schemas.openxmlformats.org/officeDocument/2006/relationships/hyperlink" Id="rId31" Target="https://doi.org/10.1016/j.anbehav.2014.11.019" TargetMode="External" /><Relationship Type="http://schemas.openxmlformats.org/officeDocument/2006/relationships/hyperlink" Id="rId28" Target="https://doi.org/10.1016/j.anbehav.2018.12.016" TargetMode="External" /><Relationship Type="http://schemas.openxmlformats.org/officeDocument/2006/relationships/hyperlink" Id="rId25" Target="https://doi.org/10.1038/s41559-017-0101" TargetMode="External" /><Relationship Type="http://schemas.openxmlformats.org/officeDocument/2006/relationships/hyperlink" Id="rId35" Target="https://doi.org/10.1111/2041-210X.13215" TargetMode="External" /><Relationship Type="http://schemas.openxmlformats.org/officeDocument/2006/relationships/hyperlink" Id="rId39" Target="https://doi.org/10.1371/journal.pbio.1002527" TargetMode="External" /><Relationship Type="http://schemas.openxmlformats.org/officeDocument/2006/relationships/hyperlink" Id="rId41" Target="https://doi.org/10.1890/12-21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LibreOffice/6.2.6.2$Linux_X86_64 LibreOffice_project/20$Build-2</Application>
  <Pages>1</Pages>
  <Words>13</Words>
  <Characters>68</Characters>
  <CharactersWithSpaces>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Alec Robitaille, Quinn M.R. Webber, Julie Turner and Eric Vander Wal</dc:creator>
  <cp:keywords/>
  <dcterms:created xsi:type="dcterms:W3CDTF">2019-09-27T19:51:51Z</dcterms:created>
  <dcterms:modified xsi:type="dcterms:W3CDTF">2019-09-27T19:51:51Z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../references/refs.bib</vt:lpwstr>
  </property>
  <property fmtid="{D5CDD505-2E9C-101B-9397-08002B2CF9AE}" pid="3" name="csl">
    <vt:lpwstr>vancouver.csl</vt:lpwstr>
  </property>
  <property fmtid="{D5CDD505-2E9C-101B-9397-08002B2CF9AE}" pid="4" name="date">
    <vt:lpwstr>2019-09-27</vt:lpwstr>
  </property>
  <property fmtid="{D5CDD505-2E9C-101B-9397-08002B2CF9AE}" pid="5" name="output">
    <vt:lpwstr/>
  </property>
</Properties>
</file>