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0DCA26" w14:textId="7071F653" w:rsidR="00336371" w:rsidRDefault="00D646CB">
      <w:pPr>
        <w:spacing w:after="40"/>
        <w:rPr>
          <w:rFonts w:hint="eastAsia"/>
        </w:rPr>
      </w:pPr>
      <w:r>
        <w:rPr>
          <w:b/>
          <w:color w:val="5C6898"/>
          <w:sz w:val="20"/>
        </w:rPr>
        <w:t>000000000000.0.0.0.0.0.0.0.0.0.0</w:t>
      </w:r>
      <w:r w:rsidR="00000000">
        <w:rPr>
          <w:b/>
          <w:color w:val="5C6898"/>
          <w:sz w:val="20"/>
        </w:rPr>
        <w:t>ACADEMIC PRESENTATION SCRIPT &amp; TECHNICAL EXPLANATION</w:t>
      </w:r>
    </w:p>
    <w:p w14:paraId="2810EE78" w14:textId="77777777" w:rsidR="00336371" w:rsidRDefault="00000000">
      <w:pPr>
        <w:spacing w:after="120"/>
        <w:rPr>
          <w:rFonts w:hint="eastAsia"/>
        </w:rPr>
      </w:pPr>
      <w:r>
        <w:rPr>
          <w:rFonts w:ascii="Arial" w:hAnsi="Arial"/>
          <w:b/>
          <w:color w:val="2C3461"/>
          <w:sz w:val="44"/>
        </w:rPr>
        <w:t>Cloud Misconfiguration Detection Using Machine Learning</w:t>
      </w:r>
    </w:p>
    <w:p w14:paraId="2C994331" w14:textId="77777777" w:rsidR="00336371" w:rsidRDefault="00000000">
      <w:pPr>
        <w:spacing w:after="280"/>
        <w:rPr>
          <w:rFonts w:hint="eastAsia"/>
        </w:rPr>
      </w:pPr>
      <w:r>
        <w:rPr>
          <w:i/>
          <w:color w:val="6E748A"/>
          <w:sz w:val="24"/>
        </w:rPr>
        <w:t>Comprehensive Slide-by-Slide Speaker Notes, Technical Justifications &amp; Examiner Q&amp;A Guide</w:t>
      </w:r>
    </w:p>
    <w:tbl>
      <w:tblPr>
        <w:tblW w:w="0" w:type="auto"/>
        <w:jc w:val="center"/>
        <w:tblLook w:val="04A0" w:firstRow="1" w:lastRow="0" w:firstColumn="1" w:lastColumn="0" w:noHBand="0" w:noVBand="1"/>
      </w:tblPr>
      <w:tblGrid>
        <w:gridCol w:w="9360"/>
      </w:tblGrid>
      <w:tr w:rsidR="00336371" w14:paraId="17713A0E" w14:textId="77777777">
        <w:trPr>
          <w:jc w:val="center"/>
        </w:trPr>
        <w:tc>
          <w:tcPr>
            <w:tcW w:w="9360" w:type="dxa"/>
            <w:shd w:val="clear" w:color="auto" w:fill="EEEBE0"/>
            <w:tcMar>
              <w:top w:w="140" w:type="dxa"/>
              <w:left w:w="180" w:type="dxa"/>
              <w:bottom w:w="140" w:type="dxa"/>
              <w:right w:w="180" w:type="dxa"/>
            </w:tcMar>
          </w:tcPr>
          <w:p w14:paraId="0EB3813A" w14:textId="77777777" w:rsidR="00336371" w:rsidRDefault="00000000">
            <w:pPr>
              <w:spacing w:after="0"/>
              <w:rPr>
                <w:rFonts w:hint="eastAsia"/>
              </w:rPr>
            </w:pPr>
            <w:r>
              <w:rPr>
                <w:b/>
                <w:color w:val="2C3461"/>
                <w:sz w:val="19"/>
              </w:rPr>
              <w:t>Course Project — Group 8</w:t>
            </w:r>
            <w:r>
              <w:rPr>
                <w:b/>
                <w:color w:val="2C3461"/>
                <w:sz w:val="19"/>
              </w:rPr>
              <w:br/>
              <w:t>• Presenter 1: Israt Jahan Rani (Student ID: 011201376)</w:t>
            </w:r>
            <w:r>
              <w:rPr>
                <w:b/>
                <w:color w:val="2C3461"/>
                <w:sz w:val="19"/>
              </w:rPr>
              <w:br/>
              <w:t>• Presenter 2: Robiul Islam Tamim (Student ID: 011212039)</w:t>
            </w:r>
            <w:r>
              <w:rPr>
                <w:b/>
                <w:color w:val="2C3461"/>
                <w:sz w:val="19"/>
              </w:rPr>
              <w:br/>
              <w:t>Artifacts: 9-Slide Academic Presentation (.pptx) &amp; Full Source Code Repository</w:t>
            </w:r>
          </w:p>
        </w:tc>
      </w:tr>
    </w:tbl>
    <w:p w14:paraId="6DCCF676" w14:textId="77777777" w:rsidR="00336371" w:rsidRDefault="00336371">
      <w:pPr>
        <w:spacing w:after="240"/>
        <w:rPr>
          <w:rFonts w:hint="eastAsia"/>
        </w:rPr>
      </w:pPr>
    </w:p>
    <w:p w14:paraId="6B1802BA" w14:textId="77777777" w:rsidR="00336371" w:rsidRDefault="00000000">
      <w:pPr>
        <w:pStyle w:val="Heading1"/>
      </w:pPr>
      <w:r>
        <w:t>1. Presentation Overview &amp; Timing Strategy</w:t>
      </w:r>
    </w:p>
    <w:p w14:paraId="132D8F23" w14:textId="77777777" w:rsidR="00336371" w:rsidRDefault="00000000">
      <w:pPr>
        <w:spacing w:after="160"/>
        <w:rPr>
          <w:rFonts w:hint="eastAsia"/>
        </w:rPr>
      </w:pPr>
      <w:r>
        <w:t>This script provides a 10 to 12-minute academic presentation structured across 9 slides. It includes exact verbatim spoken scripts, clear transition cues between speakers, deep technical background notes, and an anticipated Q&amp;A defense section for viva/presentation day.</w:t>
      </w:r>
    </w:p>
    <w:tbl>
      <w:tblPr>
        <w:tblW w:w="0" w:type="auto"/>
        <w:jc w:val="center"/>
        <w:tblLook w:val="04A0" w:firstRow="1" w:lastRow="0" w:firstColumn="1" w:lastColumn="0" w:noHBand="0" w:noVBand="1"/>
      </w:tblPr>
      <w:tblGrid>
        <w:gridCol w:w="2340"/>
        <w:gridCol w:w="2340"/>
        <w:gridCol w:w="2340"/>
        <w:gridCol w:w="2340"/>
      </w:tblGrid>
      <w:tr w:rsidR="00336371" w14:paraId="43FF53E9" w14:textId="77777777">
        <w:trPr>
          <w:jc w:val="center"/>
        </w:trPr>
        <w:tc>
          <w:tcPr>
            <w:tcW w:w="2340" w:type="dxa"/>
            <w:shd w:val="clear" w:color="auto" w:fill="2C3461"/>
          </w:tcPr>
          <w:p w14:paraId="55D8E50A" w14:textId="77777777" w:rsidR="00336371" w:rsidRDefault="00000000">
            <w:pPr>
              <w:rPr>
                <w:rFonts w:hint="eastAsia"/>
              </w:rPr>
            </w:pPr>
            <w:r>
              <w:rPr>
                <w:b/>
                <w:color w:val="FFFFFF"/>
                <w:sz w:val="19"/>
              </w:rPr>
              <w:t>Slide #</w:t>
            </w:r>
          </w:p>
        </w:tc>
        <w:tc>
          <w:tcPr>
            <w:tcW w:w="2340" w:type="dxa"/>
            <w:shd w:val="clear" w:color="auto" w:fill="2C3461"/>
          </w:tcPr>
          <w:p w14:paraId="7CD79ABA" w14:textId="77777777" w:rsidR="00336371" w:rsidRDefault="00000000">
            <w:pPr>
              <w:rPr>
                <w:rFonts w:hint="eastAsia"/>
              </w:rPr>
            </w:pPr>
            <w:r>
              <w:rPr>
                <w:b/>
                <w:color w:val="FFFFFF"/>
                <w:sz w:val="19"/>
              </w:rPr>
              <w:t>Slide Title</w:t>
            </w:r>
          </w:p>
        </w:tc>
        <w:tc>
          <w:tcPr>
            <w:tcW w:w="2340" w:type="dxa"/>
            <w:shd w:val="clear" w:color="auto" w:fill="2C3461"/>
          </w:tcPr>
          <w:p w14:paraId="7657D990" w14:textId="77777777" w:rsidR="00336371" w:rsidRDefault="00000000">
            <w:pPr>
              <w:rPr>
                <w:rFonts w:hint="eastAsia"/>
              </w:rPr>
            </w:pPr>
            <w:r>
              <w:rPr>
                <w:b/>
                <w:color w:val="FFFFFF"/>
                <w:sz w:val="19"/>
              </w:rPr>
              <w:t>Target Duration</w:t>
            </w:r>
          </w:p>
        </w:tc>
        <w:tc>
          <w:tcPr>
            <w:tcW w:w="2340" w:type="dxa"/>
            <w:shd w:val="clear" w:color="auto" w:fill="2C3461"/>
          </w:tcPr>
          <w:p w14:paraId="23425D3B" w14:textId="77777777" w:rsidR="00336371" w:rsidRDefault="00000000">
            <w:pPr>
              <w:rPr>
                <w:rFonts w:hint="eastAsia"/>
              </w:rPr>
            </w:pPr>
            <w:r>
              <w:rPr>
                <w:b/>
                <w:color w:val="FFFFFF"/>
                <w:sz w:val="19"/>
              </w:rPr>
              <w:t>Core Focus</w:t>
            </w:r>
          </w:p>
        </w:tc>
      </w:tr>
      <w:tr w:rsidR="00336371" w14:paraId="03B9BFB7" w14:textId="77777777">
        <w:trPr>
          <w:jc w:val="center"/>
        </w:trPr>
        <w:tc>
          <w:tcPr>
            <w:tcW w:w="2340" w:type="dxa"/>
            <w:shd w:val="clear" w:color="auto" w:fill="ECE9E0"/>
            <w:tcMar>
              <w:top w:w="80" w:type="dxa"/>
              <w:left w:w="100" w:type="dxa"/>
              <w:bottom w:w="80" w:type="dxa"/>
              <w:right w:w="100" w:type="dxa"/>
            </w:tcMar>
          </w:tcPr>
          <w:p w14:paraId="3542E351" w14:textId="77777777" w:rsidR="00336371" w:rsidRDefault="00000000">
            <w:pPr>
              <w:rPr>
                <w:rFonts w:hint="eastAsia"/>
              </w:rPr>
            </w:pPr>
            <w:r>
              <w:rPr>
                <w:b/>
                <w:sz w:val="18"/>
              </w:rPr>
              <w:t>Slide 1</w:t>
            </w:r>
          </w:p>
        </w:tc>
        <w:tc>
          <w:tcPr>
            <w:tcW w:w="2340" w:type="dxa"/>
            <w:shd w:val="clear" w:color="auto" w:fill="ECE9E0"/>
            <w:tcMar>
              <w:top w:w="80" w:type="dxa"/>
              <w:left w:w="100" w:type="dxa"/>
              <w:bottom w:w="80" w:type="dxa"/>
              <w:right w:w="100" w:type="dxa"/>
            </w:tcMar>
          </w:tcPr>
          <w:p w14:paraId="621773D0" w14:textId="77777777" w:rsidR="00336371" w:rsidRDefault="00000000">
            <w:pPr>
              <w:rPr>
                <w:rFonts w:hint="eastAsia"/>
              </w:rPr>
            </w:pPr>
            <w:r>
              <w:rPr>
                <w:sz w:val="18"/>
              </w:rPr>
              <w:t>Title &amp; Research Context</w:t>
            </w:r>
          </w:p>
        </w:tc>
        <w:tc>
          <w:tcPr>
            <w:tcW w:w="2340" w:type="dxa"/>
            <w:shd w:val="clear" w:color="auto" w:fill="ECE9E0"/>
            <w:tcMar>
              <w:top w:w="80" w:type="dxa"/>
              <w:left w:w="100" w:type="dxa"/>
              <w:bottom w:w="80" w:type="dxa"/>
              <w:right w:w="100" w:type="dxa"/>
            </w:tcMar>
          </w:tcPr>
          <w:p w14:paraId="38C2E727" w14:textId="77777777" w:rsidR="00336371" w:rsidRDefault="00000000">
            <w:pPr>
              <w:rPr>
                <w:rFonts w:hint="eastAsia"/>
              </w:rPr>
            </w:pPr>
            <w:r>
              <w:rPr>
                <w:sz w:val="18"/>
              </w:rPr>
              <w:t>0:45 min</w:t>
            </w:r>
          </w:p>
        </w:tc>
        <w:tc>
          <w:tcPr>
            <w:tcW w:w="2340" w:type="dxa"/>
            <w:shd w:val="clear" w:color="auto" w:fill="ECE9E0"/>
            <w:tcMar>
              <w:top w:w="80" w:type="dxa"/>
              <w:left w:w="100" w:type="dxa"/>
              <w:bottom w:w="80" w:type="dxa"/>
              <w:right w:w="100" w:type="dxa"/>
            </w:tcMar>
          </w:tcPr>
          <w:p w14:paraId="282A8EEC" w14:textId="77777777" w:rsidR="00336371" w:rsidRDefault="00000000">
            <w:pPr>
              <w:rPr>
                <w:rFonts w:hint="eastAsia"/>
              </w:rPr>
            </w:pPr>
            <w:r>
              <w:rPr>
                <w:sz w:val="18"/>
              </w:rPr>
              <w:t>Hook audience, state multi-domain scope &amp; authors</w:t>
            </w:r>
          </w:p>
        </w:tc>
      </w:tr>
      <w:tr w:rsidR="00336371" w14:paraId="7E5DC045" w14:textId="77777777">
        <w:trPr>
          <w:jc w:val="center"/>
        </w:trPr>
        <w:tc>
          <w:tcPr>
            <w:tcW w:w="2340" w:type="dxa"/>
            <w:shd w:val="clear" w:color="auto" w:fill="FFFFFF"/>
            <w:tcMar>
              <w:top w:w="80" w:type="dxa"/>
              <w:left w:w="100" w:type="dxa"/>
              <w:bottom w:w="80" w:type="dxa"/>
              <w:right w:w="100" w:type="dxa"/>
            </w:tcMar>
          </w:tcPr>
          <w:p w14:paraId="07FC8A01" w14:textId="77777777" w:rsidR="00336371" w:rsidRDefault="00000000">
            <w:pPr>
              <w:rPr>
                <w:rFonts w:hint="eastAsia"/>
              </w:rPr>
            </w:pPr>
            <w:r>
              <w:rPr>
                <w:b/>
                <w:sz w:val="18"/>
              </w:rPr>
              <w:t>Slide 2</w:t>
            </w:r>
          </w:p>
        </w:tc>
        <w:tc>
          <w:tcPr>
            <w:tcW w:w="2340" w:type="dxa"/>
            <w:shd w:val="clear" w:color="auto" w:fill="FFFFFF"/>
            <w:tcMar>
              <w:top w:w="80" w:type="dxa"/>
              <w:left w:w="100" w:type="dxa"/>
              <w:bottom w:w="80" w:type="dxa"/>
              <w:right w:w="100" w:type="dxa"/>
            </w:tcMar>
          </w:tcPr>
          <w:p w14:paraId="7E46F684" w14:textId="77777777" w:rsidR="00336371" w:rsidRDefault="00000000">
            <w:pPr>
              <w:rPr>
                <w:rFonts w:hint="eastAsia"/>
              </w:rPr>
            </w:pPr>
            <w:r>
              <w:rPr>
                <w:sz w:val="18"/>
              </w:rPr>
              <w:t>Objectives &amp; Gap Mapping</w:t>
            </w:r>
          </w:p>
        </w:tc>
        <w:tc>
          <w:tcPr>
            <w:tcW w:w="2340" w:type="dxa"/>
            <w:shd w:val="clear" w:color="auto" w:fill="FFFFFF"/>
            <w:tcMar>
              <w:top w:w="80" w:type="dxa"/>
              <w:left w:w="100" w:type="dxa"/>
              <w:bottom w:w="80" w:type="dxa"/>
              <w:right w:w="100" w:type="dxa"/>
            </w:tcMar>
          </w:tcPr>
          <w:p w14:paraId="036C21F7" w14:textId="77777777" w:rsidR="00336371" w:rsidRDefault="00000000">
            <w:pPr>
              <w:rPr>
                <w:rFonts w:hint="eastAsia"/>
              </w:rPr>
            </w:pPr>
            <w:r>
              <w:rPr>
                <w:sz w:val="18"/>
              </w:rPr>
              <w:t>1:15 min</w:t>
            </w:r>
          </w:p>
        </w:tc>
        <w:tc>
          <w:tcPr>
            <w:tcW w:w="2340" w:type="dxa"/>
            <w:shd w:val="clear" w:color="auto" w:fill="FFFFFF"/>
            <w:tcMar>
              <w:top w:w="80" w:type="dxa"/>
              <w:left w:w="100" w:type="dxa"/>
              <w:bottom w:w="80" w:type="dxa"/>
              <w:right w:w="100" w:type="dxa"/>
            </w:tcMar>
          </w:tcPr>
          <w:p w14:paraId="665FA585" w14:textId="77777777" w:rsidR="00336371" w:rsidRDefault="00000000">
            <w:pPr>
              <w:rPr>
                <w:rFonts w:hint="eastAsia"/>
              </w:rPr>
            </w:pPr>
            <w:r>
              <w:rPr>
                <w:sz w:val="18"/>
              </w:rPr>
              <w:t>Connect 4 objectives directly to existing scanner flaws</w:t>
            </w:r>
          </w:p>
        </w:tc>
      </w:tr>
      <w:tr w:rsidR="00336371" w14:paraId="7ECF4D3D" w14:textId="77777777">
        <w:trPr>
          <w:jc w:val="center"/>
        </w:trPr>
        <w:tc>
          <w:tcPr>
            <w:tcW w:w="2340" w:type="dxa"/>
            <w:shd w:val="clear" w:color="auto" w:fill="ECE9E0"/>
            <w:tcMar>
              <w:top w:w="80" w:type="dxa"/>
              <w:left w:w="100" w:type="dxa"/>
              <w:bottom w:w="80" w:type="dxa"/>
              <w:right w:w="100" w:type="dxa"/>
            </w:tcMar>
          </w:tcPr>
          <w:p w14:paraId="6DA618EA" w14:textId="77777777" w:rsidR="00336371" w:rsidRDefault="00000000">
            <w:pPr>
              <w:rPr>
                <w:rFonts w:hint="eastAsia"/>
              </w:rPr>
            </w:pPr>
            <w:r>
              <w:rPr>
                <w:b/>
                <w:sz w:val="18"/>
              </w:rPr>
              <w:t>Slide 3</w:t>
            </w:r>
          </w:p>
        </w:tc>
        <w:tc>
          <w:tcPr>
            <w:tcW w:w="2340" w:type="dxa"/>
            <w:shd w:val="clear" w:color="auto" w:fill="ECE9E0"/>
            <w:tcMar>
              <w:top w:w="80" w:type="dxa"/>
              <w:left w:w="100" w:type="dxa"/>
              <w:bottom w:w="80" w:type="dxa"/>
              <w:right w:w="100" w:type="dxa"/>
            </w:tcMar>
          </w:tcPr>
          <w:p w14:paraId="1816C0F9" w14:textId="77777777" w:rsidR="00336371" w:rsidRDefault="00000000">
            <w:pPr>
              <w:rPr>
                <w:rFonts w:hint="eastAsia"/>
              </w:rPr>
            </w:pPr>
            <w:r>
              <w:rPr>
                <w:sz w:val="18"/>
              </w:rPr>
              <w:t>4-Stage Pipeline Architecture</w:t>
            </w:r>
          </w:p>
        </w:tc>
        <w:tc>
          <w:tcPr>
            <w:tcW w:w="2340" w:type="dxa"/>
            <w:shd w:val="clear" w:color="auto" w:fill="ECE9E0"/>
            <w:tcMar>
              <w:top w:w="80" w:type="dxa"/>
              <w:left w:w="100" w:type="dxa"/>
              <w:bottom w:w="80" w:type="dxa"/>
              <w:right w:w="100" w:type="dxa"/>
            </w:tcMar>
          </w:tcPr>
          <w:p w14:paraId="3BF5BC97" w14:textId="77777777" w:rsidR="00336371" w:rsidRDefault="00000000">
            <w:pPr>
              <w:rPr>
                <w:rFonts w:hint="eastAsia"/>
              </w:rPr>
            </w:pPr>
            <w:r>
              <w:rPr>
                <w:sz w:val="18"/>
              </w:rPr>
              <w:t>1:30 min</w:t>
            </w:r>
          </w:p>
        </w:tc>
        <w:tc>
          <w:tcPr>
            <w:tcW w:w="2340" w:type="dxa"/>
            <w:shd w:val="clear" w:color="auto" w:fill="ECE9E0"/>
            <w:tcMar>
              <w:top w:w="80" w:type="dxa"/>
              <w:left w:w="100" w:type="dxa"/>
              <w:bottom w:w="80" w:type="dxa"/>
              <w:right w:w="100" w:type="dxa"/>
            </w:tcMar>
          </w:tcPr>
          <w:p w14:paraId="5D50C62B" w14:textId="77777777" w:rsidR="00336371" w:rsidRDefault="00000000">
            <w:pPr>
              <w:rPr>
                <w:rFonts w:hint="eastAsia"/>
              </w:rPr>
            </w:pPr>
            <w:r>
              <w:rPr>
                <w:sz w:val="18"/>
              </w:rPr>
              <w:t>Walk through AST -&gt; Graph -&gt; RF/LLM -&gt; SHAP loop</w:t>
            </w:r>
          </w:p>
        </w:tc>
      </w:tr>
      <w:tr w:rsidR="00336371" w14:paraId="13EED8D9" w14:textId="77777777">
        <w:trPr>
          <w:jc w:val="center"/>
        </w:trPr>
        <w:tc>
          <w:tcPr>
            <w:tcW w:w="2340" w:type="dxa"/>
            <w:shd w:val="clear" w:color="auto" w:fill="FFFFFF"/>
            <w:tcMar>
              <w:top w:w="80" w:type="dxa"/>
              <w:left w:w="100" w:type="dxa"/>
              <w:bottom w:w="80" w:type="dxa"/>
              <w:right w:w="100" w:type="dxa"/>
            </w:tcMar>
          </w:tcPr>
          <w:p w14:paraId="71D31365" w14:textId="77777777" w:rsidR="00336371" w:rsidRDefault="00000000">
            <w:pPr>
              <w:rPr>
                <w:rFonts w:hint="eastAsia"/>
              </w:rPr>
            </w:pPr>
            <w:r>
              <w:rPr>
                <w:b/>
                <w:sz w:val="18"/>
              </w:rPr>
              <w:t>Slide 4</w:t>
            </w:r>
          </w:p>
        </w:tc>
        <w:tc>
          <w:tcPr>
            <w:tcW w:w="2340" w:type="dxa"/>
            <w:shd w:val="clear" w:color="auto" w:fill="FFFFFF"/>
            <w:tcMar>
              <w:top w:w="80" w:type="dxa"/>
              <w:left w:w="100" w:type="dxa"/>
              <w:bottom w:w="80" w:type="dxa"/>
              <w:right w:w="100" w:type="dxa"/>
            </w:tcMar>
          </w:tcPr>
          <w:p w14:paraId="499BFBCF" w14:textId="77777777" w:rsidR="00336371" w:rsidRDefault="00000000">
            <w:pPr>
              <w:rPr>
                <w:rFonts w:hint="eastAsia"/>
              </w:rPr>
            </w:pPr>
            <w:r>
              <w:rPr>
                <w:sz w:val="18"/>
              </w:rPr>
              <w:t>Cross-Resource Threat Graph</w:t>
            </w:r>
          </w:p>
        </w:tc>
        <w:tc>
          <w:tcPr>
            <w:tcW w:w="2340" w:type="dxa"/>
            <w:shd w:val="clear" w:color="auto" w:fill="FFFFFF"/>
            <w:tcMar>
              <w:top w:w="80" w:type="dxa"/>
              <w:left w:w="100" w:type="dxa"/>
              <w:bottom w:w="80" w:type="dxa"/>
              <w:right w:w="100" w:type="dxa"/>
            </w:tcMar>
          </w:tcPr>
          <w:p w14:paraId="00180041" w14:textId="77777777" w:rsidR="00336371" w:rsidRDefault="00000000">
            <w:pPr>
              <w:rPr>
                <w:rFonts w:hint="eastAsia"/>
              </w:rPr>
            </w:pPr>
            <w:r>
              <w:rPr>
                <w:sz w:val="18"/>
              </w:rPr>
              <w:t>1:45 min</w:t>
            </w:r>
          </w:p>
        </w:tc>
        <w:tc>
          <w:tcPr>
            <w:tcW w:w="2340" w:type="dxa"/>
            <w:shd w:val="clear" w:color="auto" w:fill="FFFFFF"/>
            <w:tcMar>
              <w:top w:w="80" w:type="dxa"/>
              <w:left w:w="100" w:type="dxa"/>
              <w:bottom w:w="80" w:type="dxa"/>
              <w:right w:w="100" w:type="dxa"/>
            </w:tcMar>
          </w:tcPr>
          <w:p w14:paraId="33CE7F1A" w14:textId="77777777" w:rsidR="00336371" w:rsidRDefault="00000000">
            <w:pPr>
              <w:rPr>
                <w:rFonts w:hint="eastAsia"/>
              </w:rPr>
            </w:pPr>
            <w:r>
              <w:rPr>
                <w:sz w:val="18"/>
              </w:rPr>
              <w:t>Highlight the key novelty: multi-file GNN attack chains</w:t>
            </w:r>
          </w:p>
        </w:tc>
      </w:tr>
      <w:tr w:rsidR="00336371" w14:paraId="2A533D89" w14:textId="77777777">
        <w:trPr>
          <w:jc w:val="center"/>
        </w:trPr>
        <w:tc>
          <w:tcPr>
            <w:tcW w:w="2340" w:type="dxa"/>
            <w:shd w:val="clear" w:color="auto" w:fill="ECE9E0"/>
            <w:tcMar>
              <w:top w:w="80" w:type="dxa"/>
              <w:left w:w="100" w:type="dxa"/>
              <w:bottom w:w="80" w:type="dxa"/>
              <w:right w:w="100" w:type="dxa"/>
            </w:tcMar>
          </w:tcPr>
          <w:p w14:paraId="4D01BA1F" w14:textId="77777777" w:rsidR="00336371" w:rsidRDefault="00000000">
            <w:pPr>
              <w:rPr>
                <w:rFonts w:hint="eastAsia"/>
              </w:rPr>
            </w:pPr>
            <w:r>
              <w:rPr>
                <w:b/>
                <w:sz w:val="18"/>
              </w:rPr>
              <w:t>Slide 5</w:t>
            </w:r>
          </w:p>
        </w:tc>
        <w:tc>
          <w:tcPr>
            <w:tcW w:w="2340" w:type="dxa"/>
            <w:shd w:val="clear" w:color="auto" w:fill="ECE9E0"/>
            <w:tcMar>
              <w:top w:w="80" w:type="dxa"/>
              <w:left w:w="100" w:type="dxa"/>
              <w:bottom w:w="80" w:type="dxa"/>
              <w:right w:w="100" w:type="dxa"/>
            </w:tcMar>
          </w:tcPr>
          <w:p w14:paraId="564E276E" w14:textId="77777777" w:rsidR="00336371" w:rsidRDefault="00000000">
            <w:pPr>
              <w:rPr>
                <w:rFonts w:hint="eastAsia"/>
              </w:rPr>
            </w:pPr>
            <w:r>
              <w:rPr>
                <w:sz w:val="18"/>
              </w:rPr>
              <w:t>Experimental Details &amp; Features</w:t>
            </w:r>
          </w:p>
        </w:tc>
        <w:tc>
          <w:tcPr>
            <w:tcW w:w="2340" w:type="dxa"/>
            <w:shd w:val="clear" w:color="auto" w:fill="ECE9E0"/>
            <w:tcMar>
              <w:top w:w="80" w:type="dxa"/>
              <w:left w:w="100" w:type="dxa"/>
              <w:bottom w:w="80" w:type="dxa"/>
              <w:right w:w="100" w:type="dxa"/>
            </w:tcMar>
          </w:tcPr>
          <w:p w14:paraId="0F4B7D95" w14:textId="77777777" w:rsidR="00336371" w:rsidRDefault="00000000">
            <w:pPr>
              <w:rPr>
                <w:rFonts w:hint="eastAsia"/>
              </w:rPr>
            </w:pPr>
            <w:r>
              <w:rPr>
                <w:sz w:val="18"/>
              </w:rPr>
              <w:t>1:30 min</w:t>
            </w:r>
          </w:p>
        </w:tc>
        <w:tc>
          <w:tcPr>
            <w:tcW w:w="2340" w:type="dxa"/>
            <w:shd w:val="clear" w:color="auto" w:fill="ECE9E0"/>
            <w:tcMar>
              <w:top w:w="80" w:type="dxa"/>
              <w:left w:w="100" w:type="dxa"/>
              <w:bottom w:w="80" w:type="dxa"/>
              <w:right w:w="100" w:type="dxa"/>
            </w:tcMar>
          </w:tcPr>
          <w:p w14:paraId="5E1D6FB4" w14:textId="77777777" w:rsidR="00336371" w:rsidRDefault="00000000">
            <w:pPr>
              <w:rPr>
                <w:rFonts w:hint="eastAsia"/>
              </w:rPr>
            </w:pPr>
            <w:r>
              <w:rPr>
                <w:sz w:val="18"/>
              </w:rPr>
              <w:t>1,100 dataset, 64-D vectors, hyperparameters</w:t>
            </w:r>
          </w:p>
        </w:tc>
      </w:tr>
      <w:tr w:rsidR="00336371" w14:paraId="07BEF588" w14:textId="77777777">
        <w:trPr>
          <w:jc w:val="center"/>
        </w:trPr>
        <w:tc>
          <w:tcPr>
            <w:tcW w:w="2340" w:type="dxa"/>
            <w:shd w:val="clear" w:color="auto" w:fill="FFFFFF"/>
            <w:tcMar>
              <w:top w:w="80" w:type="dxa"/>
              <w:left w:w="100" w:type="dxa"/>
              <w:bottom w:w="80" w:type="dxa"/>
              <w:right w:w="100" w:type="dxa"/>
            </w:tcMar>
          </w:tcPr>
          <w:p w14:paraId="566C6EE2" w14:textId="77777777" w:rsidR="00336371" w:rsidRDefault="00000000">
            <w:pPr>
              <w:rPr>
                <w:rFonts w:hint="eastAsia"/>
              </w:rPr>
            </w:pPr>
            <w:r>
              <w:rPr>
                <w:b/>
                <w:sz w:val="18"/>
              </w:rPr>
              <w:t>Slide 6</w:t>
            </w:r>
          </w:p>
        </w:tc>
        <w:tc>
          <w:tcPr>
            <w:tcW w:w="2340" w:type="dxa"/>
            <w:shd w:val="clear" w:color="auto" w:fill="FFFFFF"/>
            <w:tcMar>
              <w:top w:w="80" w:type="dxa"/>
              <w:left w:w="100" w:type="dxa"/>
              <w:bottom w:w="80" w:type="dxa"/>
              <w:right w:w="100" w:type="dxa"/>
            </w:tcMar>
          </w:tcPr>
          <w:p w14:paraId="18E6C432" w14:textId="77777777" w:rsidR="00336371" w:rsidRDefault="00000000">
            <w:pPr>
              <w:rPr>
                <w:rFonts w:hint="eastAsia"/>
              </w:rPr>
            </w:pPr>
            <w:r>
              <w:rPr>
                <w:sz w:val="18"/>
              </w:rPr>
              <w:t>Empirical Results &amp; Matrix</w:t>
            </w:r>
          </w:p>
        </w:tc>
        <w:tc>
          <w:tcPr>
            <w:tcW w:w="2340" w:type="dxa"/>
            <w:shd w:val="clear" w:color="auto" w:fill="FFFFFF"/>
            <w:tcMar>
              <w:top w:w="80" w:type="dxa"/>
              <w:left w:w="100" w:type="dxa"/>
              <w:bottom w:w="80" w:type="dxa"/>
              <w:right w:w="100" w:type="dxa"/>
            </w:tcMar>
          </w:tcPr>
          <w:p w14:paraId="680181D0" w14:textId="77777777" w:rsidR="00336371" w:rsidRDefault="00000000">
            <w:pPr>
              <w:rPr>
                <w:rFonts w:hint="eastAsia"/>
              </w:rPr>
            </w:pPr>
            <w:r>
              <w:rPr>
                <w:sz w:val="18"/>
              </w:rPr>
              <w:t>1:45 min</w:t>
            </w:r>
          </w:p>
        </w:tc>
        <w:tc>
          <w:tcPr>
            <w:tcW w:w="2340" w:type="dxa"/>
            <w:shd w:val="clear" w:color="auto" w:fill="FFFFFF"/>
            <w:tcMar>
              <w:top w:w="80" w:type="dxa"/>
              <w:left w:w="100" w:type="dxa"/>
              <w:bottom w:w="80" w:type="dxa"/>
              <w:right w:w="100" w:type="dxa"/>
            </w:tcMar>
          </w:tcPr>
          <w:p w14:paraId="1CDDE5A0" w14:textId="77777777" w:rsidR="00336371" w:rsidRDefault="00000000">
            <w:pPr>
              <w:rPr>
                <w:rFonts w:hint="eastAsia"/>
              </w:rPr>
            </w:pPr>
            <w:r>
              <w:rPr>
                <w:sz w:val="18"/>
              </w:rPr>
              <w:t>Confusion matrix (TN=99, TP=121), synthetic verification</w:t>
            </w:r>
          </w:p>
        </w:tc>
      </w:tr>
      <w:tr w:rsidR="00336371" w14:paraId="25711AF3" w14:textId="77777777">
        <w:trPr>
          <w:jc w:val="center"/>
        </w:trPr>
        <w:tc>
          <w:tcPr>
            <w:tcW w:w="2340" w:type="dxa"/>
            <w:shd w:val="clear" w:color="auto" w:fill="ECE9E0"/>
            <w:tcMar>
              <w:top w:w="80" w:type="dxa"/>
              <w:left w:w="100" w:type="dxa"/>
              <w:bottom w:w="80" w:type="dxa"/>
              <w:right w:w="100" w:type="dxa"/>
            </w:tcMar>
          </w:tcPr>
          <w:p w14:paraId="43DE240B" w14:textId="77777777" w:rsidR="00336371" w:rsidRDefault="00000000">
            <w:pPr>
              <w:rPr>
                <w:rFonts w:hint="eastAsia"/>
              </w:rPr>
            </w:pPr>
            <w:r>
              <w:rPr>
                <w:b/>
                <w:sz w:val="18"/>
              </w:rPr>
              <w:lastRenderedPageBreak/>
              <w:t>Slide 7</w:t>
            </w:r>
          </w:p>
        </w:tc>
        <w:tc>
          <w:tcPr>
            <w:tcW w:w="2340" w:type="dxa"/>
            <w:shd w:val="clear" w:color="auto" w:fill="ECE9E0"/>
            <w:tcMar>
              <w:top w:w="80" w:type="dxa"/>
              <w:left w:w="100" w:type="dxa"/>
              <w:bottom w:w="80" w:type="dxa"/>
              <w:right w:w="100" w:type="dxa"/>
            </w:tcMar>
          </w:tcPr>
          <w:p w14:paraId="3C199855" w14:textId="77777777" w:rsidR="00336371" w:rsidRDefault="00000000">
            <w:pPr>
              <w:rPr>
                <w:rFonts w:hint="eastAsia"/>
              </w:rPr>
            </w:pPr>
            <w:r>
              <w:rPr>
                <w:sz w:val="18"/>
              </w:rPr>
              <w:t>Scientific Limitations</w:t>
            </w:r>
          </w:p>
        </w:tc>
        <w:tc>
          <w:tcPr>
            <w:tcW w:w="2340" w:type="dxa"/>
            <w:shd w:val="clear" w:color="auto" w:fill="ECE9E0"/>
            <w:tcMar>
              <w:top w:w="80" w:type="dxa"/>
              <w:left w:w="100" w:type="dxa"/>
              <w:bottom w:w="80" w:type="dxa"/>
              <w:right w:w="100" w:type="dxa"/>
            </w:tcMar>
          </w:tcPr>
          <w:p w14:paraId="3CF5C2A8" w14:textId="77777777" w:rsidR="00336371" w:rsidRDefault="00000000">
            <w:pPr>
              <w:rPr>
                <w:rFonts w:hint="eastAsia"/>
              </w:rPr>
            </w:pPr>
            <w:r>
              <w:rPr>
                <w:sz w:val="18"/>
              </w:rPr>
              <w:t>1:15 min</w:t>
            </w:r>
          </w:p>
        </w:tc>
        <w:tc>
          <w:tcPr>
            <w:tcW w:w="2340" w:type="dxa"/>
            <w:shd w:val="clear" w:color="auto" w:fill="ECE9E0"/>
            <w:tcMar>
              <w:top w:w="80" w:type="dxa"/>
              <w:left w:w="100" w:type="dxa"/>
              <w:bottom w:w="80" w:type="dxa"/>
              <w:right w:w="100" w:type="dxa"/>
            </w:tcMar>
          </w:tcPr>
          <w:p w14:paraId="3B396F56" w14:textId="77777777" w:rsidR="00336371" w:rsidRDefault="00000000">
            <w:pPr>
              <w:rPr>
                <w:rFonts w:hint="eastAsia"/>
              </w:rPr>
            </w:pPr>
            <w:r>
              <w:rPr>
                <w:sz w:val="18"/>
              </w:rPr>
              <w:t>Honest critical analysis: scale, synthetic gap, latency</w:t>
            </w:r>
          </w:p>
        </w:tc>
      </w:tr>
      <w:tr w:rsidR="00336371" w14:paraId="3095FDAA" w14:textId="77777777">
        <w:trPr>
          <w:jc w:val="center"/>
        </w:trPr>
        <w:tc>
          <w:tcPr>
            <w:tcW w:w="2340" w:type="dxa"/>
            <w:shd w:val="clear" w:color="auto" w:fill="FFFFFF"/>
            <w:tcMar>
              <w:top w:w="80" w:type="dxa"/>
              <w:left w:w="100" w:type="dxa"/>
              <w:bottom w:w="80" w:type="dxa"/>
              <w:right w:w="100" w:type="dxa"/>
            </w:tcMar>
          </w:tcPr>
          <w:p w14:paraId="7F23948C" w14:textId="77777777" w:rsidR="00336371" w:rsidRDefault="00000000">
            <w:pPr>
              <w:rPr>
                <w:rFonts w:hint="eastAsia"/>
              </w:rPr>
            </w:pPr>
            <w:r>
              <w:rPr>
                <w:b/>
                <w:sz w:val="18"/>
              </w:rPr>
              <w:t>Slide 8</w:t>
            </w:r>
          </w:p>
        </w:tc>
        <w:tc>
          <w:tcPr>
            <w:tcW w:w="2340" w:type="dxa"/>
            <w:shd w:val="clear" w:color="auto" w:fill="FFFFFF"/>
            <w:tcMar>
              <w:top w:w="80" w:type="dxa"/>
              <w:left w:w="100" w:type="dxa"/>
              <w:bottom w:w="80" w:type="dxa"/>
              <w:right w:w="100" w:type="dxa"/>
            </w:tcMar>
          </w:tcPr>
          <w:p w14:paraId="1306A883" w14:textId="77777777" w:rsidR="00336371" w:rsidRDefault="00000000">
            <w:pPr>
              <w:rPr>
                <w:rFonts w:hint="eastAsia"/>
              </w:rPr>
            </w:pPr>
            <w:r>
              <w:rPr>
                <w:sz w:val="18"/>
              </w:rPr>
              <w:t>2-Week Sprint Roadmap</w:t>
            </w:r>
          </w:p>
        </w:tc>
        <w:tc>
          <w:tcPr>
            <w:tcW w:w="2340" w:type="dxa"/>
            <w:shd w:val="clear" w:color="auto" w:fill="FFFFFF"/>
            <w:tcMar>
              <w:top w:w="80" w:type="dxa"/>
              <w:left w:w="100" w:type="dxa"/>
              <w:bottom w:w="80" w:type="dxa"/>
              <w:right w:w="100" w:type="dxa"/>
            </w:tcMar>
          </w:tcPr>
          <w:p w14:paraId="017B6191" w14:textId="77777777" w:rsidR="00336371" w:rsidRDefault="00000000">
            <w:pPr>
              <w:rPr>
                <w:rFonts w:hint="eastAsia"/>
              </w:rPr>
            </w:pPr>
            <w:r>
              <w:rPr>
                <w:sz w:val="18"/>
              </w:rPr>
              <w:t>1:15 min</w:t>
            </w:r>
          </w:p>
        </w:tc>
        <w:tc>
          <w:tcPr>
            <w:tcW w:w="2340" w:type="dxa"/>
            <w:shd w:val="clear" w:color="auto" w:fill="FFFFFF"/>
            <w:tcMar>
              <w:top w:w="80" w:type="dxa"/>
              <w:left w:w="100" w:type="dxa"/>
              <w:bottom w:w="80" w:type="dxa"/>
              <w:right w:w="100" w:type="dxa"/>
            </w:tcMar>
          </w:tcPr>
          <w:p w14:paraId="755A9F16" w14:textId="77777777" w:rsidR="00336371" w:rsidRDefault="00000000">
            <w:pPr>
              <w:rPr>
                <w:rFonts w:hint="eastAsia"/>
              </w:rPr>
            </w:pPr>
            <w:r>
              <w:rPr>
                <w:sz w:val="18"/>
              </w:rPr>
              <w:t>Realistic bugfixing/refining sprint (Days 1-14)</w:t>
            </w:r>
          </w:p>
        </w:tc>
      </w:tr>
      <w:tr w:rsidR="00336371" w14:paraId="6755FC61" w14:textId="77777777">
        <w:trPr>
          <w:jc w:val="center"/>
        </w:trPr>
        <w:tc>
          <w:tcPr>
            <w:tcW w:w="2340" w:type="dxa"/>
            <w:shd w:val="clear" w:color="auto" w:fill="ECE9E0"/>
            <w:tcMar>
              <w:top w:w="80" w:type="dxa"/>
              <w:left w:w="100" w:type="dxa"/>
              <w:bottom w:w="80" w:type="dxa"/>
              <w:right w:w="100" w:type="dxa"/>
            </w:tcMar>
          </w:tcPr>
          <w:p w14:paraId="05312CB7" w14:textId="77777777" w:rsidR="00336371" w:rsidRDefault="00000000">
            <w:pPr>
              <w:rPr>
                <w:rFonts w:hint="eastAsia"/>
              </w:rPr>
            </w:pPr>
            <w:r>
              <w:rPr>
                <w:b/>
                <w:sz w:val="18"/>
              </w:rPr>
              <w:t>Slide 9</w:t>
            </w:r>
          </w:p>
        </w:tc>
        <w:tc>
          <w:tcPr>
            <w:tcW w:w="2340" w:type="dxa"/>
            <w:shd w:val="clear" w:color="auto" w:fill="ECE9E0"/>
            <w:tcMar>
              <w:top w:w="80" w:type="dxa"/>
              <w:left w:w="100" w:type="dxa"/>
              <w:bottom w:w="80" w:type="dxa"/>
              <w:right w:w="100" w:type="dxa"/>
            </w:tcMar>
          </w:tcPr>
          <w:p w14:paraId="4A8D26AC" w14:textId="77777777" w:rsidR="00336371" w:rsidRDefault="00000000">
            <w:pPr>
              <w:rPr>
                <w:rFonts w:hint="eastAsia"/>
              </w:rPr>
            </w:pPr>
            <w:r>
              <w:rPr>
                <w:sz w:val="18"/>
              </w:rPr>
              <w:t>Source Code &amp; Reproduction</w:t>
            </w:r>
          </w:p>
        </w:tc>
        <w:tc>
          <w:tcPr>
            <w:tcW w:w="2340" w:type="dxa"/>
            <w:shd w:val="clear" w:color="auto" w:fill="ECE9E0"/>
            <w:tcMar>
              <w:top w:w="80" w:type="dxa"/>
              <w:left w:w="100" w:type="dxa"/>
              <w:bottom w:w="80" w:type="dxa"/>
              <w:right w:w="100" w:type="dxa"/>
            </w:tcMar>
          </w:tcPr>
          <w:p w14:paraId="2411652F" w14:textId="77777777" w:rsidR="00336371" w:rsidRDefault="00000000">
            <w:pPr>
              <w:rPr>
                <w:rFonts w:hint="eastAsia"/>
              </w:rPr>
            </w:pPr>
            <w:r>
              <w:rPr>
                <w:sz w:val="18"/>
              </w:rPr>
              <w:t>0:45 min</w:t>
            </w:r>
          </w:p>
        </w:tc>
        <w:tc>
          <w:tcPr>
            <w:tcW w:w="2340" w:type="dxa"/>
            <w:shd w:val="clear" w:color="auto" w:fill="ECE9E0"/>
            <w:tcMar>
              <w:top w:w="80" w:type="dxa"/>
              <w:left w:w="100" w:type="dxa"/>
              <w:bottom w:w="80" w:type="dxa"/>
              <w:right w:w="100" w:type="dxa"/>
            </w:tcMar>
          </w:tcPr>
          <w:p w14:paraId="4A63879A" w14:textId="77777777" w:rsidR="00336371" w:rsidRDefault="00000000">
            <w:pPr>
              <w:rPr>
                <w:rFonts w:hint="eastAsia"/>
              </w:rPr>
            </w:pPr>
            <w:r>
              <w:rPr>
                <w:sz w:val="18"/>
              </w:rPr>
              <w:t>GitHub repository, Colab notebook, live CLI demo</w:t>
            </w:r>
          </w:p>
        </w:tc>
      </w:tr>
    </w:tbl>
    <w:p w14:paraId="68C0027B" w14:textId="77777777" w:rsidR="00336371" w:rsidRDefault="00336371">
      <w:pPr>
        <w:spacing w:after="280"/>
        <w:rPr>
          <w:rFonts w:hint="eastAsia"/>
        </w:rPr>
      </w:pPr>
    </w:p>
    <w:p w14:paraId="292C2272" w14:textId="77777777" w:rsidR="00336371" w:rsidRDefault="00000000">
      <w:pPr>
        <w:pStyle w:val="Heading1"/>
      </w:pPr>
      <w:r>
        <w:t>2. Slide-by-Slide Spoken Scripts &amp; Technical Guide</w:t>
      </w:r>
    </w:p>
    <w:p w14:paraId="1D322943" w14:textId="77777777" w:rsidR="00336371" w:rsidRDefault="00000000">
      <w:pPr>
        <w:pStyle w:val="Heading2"/>
      </w:pPr>
      <w:r>
        <w:t>Slide 1: Title Slide: Cloud Misconfiguration Detection Using Machine Learning</w:t>
      </w:r>
    </w:p>
    <w:p w14:paraId="2865AB82" w14:textId="77777777" w:rsidR="00336371" w:rsidRDefault="00000000">
      <w:pPr>
        <w:spacing w:before="40" w:after="80"/>
        <w:rPr>
          <w:rFonts w:hint="eastAsia"/>
        </w:rPr>
      </w:pPr>
      <w:r>
        <w:rPr>
          <w:b/>
          <w:color w:val="5C6898"/>
        </w:rPr>
        <w:t xml:space="preserve">🖥️ Slide Visuals &amp; Elements: </w:t>
      </w:r>
      <w:r>
        <w:rPr>
          <w:sz w:val="20"/>
        </w:rPr>
        <w:t>Geometric navy &amp; parchment layout, Group 8 author names (Israt Jahan Rani &amp; Robiul Islam Tamim), and 4 hero stat badges on the right: 3 Cloud Domains, 4 Pipeline Stages, 1,100 Manifests, &gt;90% API Cost Saved.</w:t>
      </w:r>
    </w:p>
    <w:tbl>
      <w:tblPr>
        <w:tblW w:w="0" w:type="auto"/>
        <w:jc w:val="center"/>
        <w:tblLayout w:type="fixed"/>
        <w:tblLook w:val="04A0" w:firstRow="1" w:lastRow="0" w:firstColumn="1" w:lastColumn="0" w:noHBand="0" w:noVBand="1"/>
      </w:tblPr>
      <w:tblGrid>
        <w:gridCol w:w="9360"/>
      </w:tblGrid>
      <w:tr w:rsidR="00336371" w14:paraId="1DACAB4A" w14:textId="77777777">
        <w:trPr>
          <w:jc w:val="center"/>
        </w:trPr>
        <w:tc>
          <w:tcPr>
            <w:tcW w:w="9360" w:type="dxa"/>
            <w:tcBorders>
              <w:left w:val="single" w:sz="36" w:space="0" w:color="2C3461"/>
            </w:tcBorders>
            <w:shd w:val="clear" w:color="auto" w:fill="EEEBE0"/>
            <w:tcMar>
              <w:top w:w="160" w:type="dxa"/>
              <w:left w:w="220" w:type="dxa"/>
              <w:bottom w:w="160" w:type="dxa"/>
              <w:right w:w="220" w:type="dxa"/>
            </w:tcMar>
          </w:tcPr>
          <w:p w14:paraId="5F716E98" w14:textId="77777777" w:rsidR="00336371" w:rsidRDefault="00000000">
            <w:pPr>
              <w:spacing w:after="80"/>
              <w:rPr>
                <w:rFonts w:hint="eastAsia"/>
              </w:rPr>
            </w:pPr>
            <w:r>
              <w:rPr>
                <w:b/>
                <w:color w:val="2C3461"/>
              </w:rPr>
              <w:t>📌 SPOKEN PRESENTATION SCRIPT (Slide 1)</w:t>
            </w:r>
            <w:r>
              <w:rPr>
                <w:b/>
                <w:color w:val="2C3461"/>
              </w:rPr>
              <w:br/>
            </w:r>
            <w:r>
              <w:rPr>
                <w:sz w:val="20"/>
              </w:rPr>
              <w:t>"Honorable faculty and dear peers, good morning. Today, my teammate Robiul Islam Tamim and I, Israt Jahan Rani, are pleased to present our research project: 'Cloud Misconfiguration Detection Using Machine Learning'.</w:t>
            </w:r>
            <w:r>
              <w:rPr>
                <w:sz w:val="20"/>
              </w:rPr>
              <w:br/>
            </w:r>
            <w:r>
              <w:rPr>
                <w:sz w:val="20"/>
              </w:rPr>
              <w:br/>
              <w:t>In modern cloud infrastructure—whether Kubernetes clusters, AWS IAM roles, or Serverless functions—misconfigurations are the single leading cause of enterprise data breaches. However, conventional security tools are static, rule-based, and evaluate files in complete isolation. Today, we introduce an intelligent, multi-domain framework combining Graph Neural Networks, 64-dimensional AST feature extraction, tiered ML-LLM triage, and compiler-verified automated remediation. Let us begin by reviewing the core research objectives."</w:t>
            </w:r>
          </w:p>
        </w:tc>
      </w:tr>
    </w:tbl>
    <w:p w14:paraId="04340935" w14:textId="77777777" w:rsidR="00336371" w:rsidRDefault="00336371">
      <w:pPr>
        <w:spacing w:after="120"/>
        <w:rPr>
          <w:rFonts w:hint="eastAsia"/>
        </w:rPr>
      </w:pPr>
    </w:p>
    <w:tbl>
      <w:tblPr>
        <w:tblW w:w="0" w:type="auto"/>
        <w:jc w:val="center"/>
        <w:tblLayout w:type="fixed"/>
        <w:tblLook w:val="04A0" w:firstRow="1" w:lastRow="0" w:firstColumn="1" w:lastColumn="0" w:noHBand="0" w:noVBand="1"/>
      </w:tblPr>
      <w:tblGrid>
        <w:gridCol w:w="9360"/>
      </w:tblGrid>
      <w:tr w:rsidR="00336371" w14:paraId="70697DA3" w14:textId="77777777">
        <w:trPr>
          <w:jc w:val="center"/>
        </w:trPr>
        <w:tc>
          <w:tcPr>
            <w:tcW w:w="9360" w:type="dxa"/>
            <w:tcBorders>
              <w:left w:val="single" w:sz="36" w:space="0" w:color="5C6898"/>
            </w:tcBorders>
            <w:shd w:val="clear" w:color="auto" w:fill="ECE9E0"/>
            <w:tcMar>
              <w:top w:w="160" w:type="dxa"/>
              <w:left w:w="220" w:type="dxa"/>
              <w:bottom w:w="160" w:type="dxa"/>
              <w:right w:w="220" w:type="dxa"/>
            </w:tcMar>
          </w:tcPr>
          <w:p w14:paraId="5B51E921" w14:textId="77777777" w:rsidR="00336371" w:rsidRDefault="00000000">
            <w:pPr>
              <w:spacing w:after="80"/>
              <w:rPr>
                <w:rFonts w:hint="eastAsia"/>
              </w:rPr>
            </w:pPr>
            <w:r>
              <w:rPr>
                <w:b/>
                <w:color w:val="2C3461"/>
              </w:rPr>
              <w:t>📌 TECHNICAL BACKGROUND &amp; EXAMINER CONTEXT</w:t>
            </w:r>
            <w:r>
              <w:rPr>
                <w:b/>
                <w:color w:val="2C3461"/>
              </w:rPr>
              <w:br/>
            </w:r>
            <w:r>
              <w:rPr>
                <w:sz w:val="20"/>
              </w:rPr>
              <w:t>Key Context: Traditional tools like Checkov, tfsec, and KubeLinter rely on static regex matching. They lack cross-resource context, intent recognition, and automated validation. Our project addresses all three limitations.</w:t>
            </w:r>
          </w:p>
        </w:tc>
      </w:tr>
    </w:tbl>
    <w:p w14:paraId="1A05D093" w14:textId="77777777" w:rsidR="00336371" w:rsidRDefault="00336371">
      <w:pPr>
        <w:spacing w:after="120"/>
        <w:rPr>
          <w:rFonts w:hint="eastAsia"/>
        </w:rPr>
      </w:pPr>
    </w:p>
    <w:p w14:paraId="6C1F62B4" w14:textId="77777777" w:rsidR="00336371" w:rsidRDefault="00336371">
      <w:pPr>
        <w:spacing w:after="160"/>
        <w:rPr>
          <w:rFonts w:hint="eastAsia"/>
        </w:rPr>
      </w:pPr>
    </w:p>
    <w:p w14:paraId="0B1A824A" w14:textId="77777777" w:rsidR="00336371" w:rsidRDefault="00000000">
      <w:pPr>
        <w:pStyle w:val="Heading2"/>
      </w:pPr>
      <w:r>
        <w:t>Slide 2: Section I — Research Objectives Mapped to Identified Gaps</w:t>
      </w:r>
    </w:p>
    <w:p w14:paraId="1304FDC5" w14:textId="77777777" w:rsidR="00336371" w:rsidRDefault="00000000">
      <w:pPr>
        <w:spacing w:before="40" w:after="80"/>
        <w:rPr>
          <w:rFonts w:hint="eastAsia"/>
        </w:rPr>
      </w:pPr>
      <w:r>
        <w:rPr>
          <w:b/>
          <w:color w:val="5C6898"/>
        </w:rPr>
        <w:t xml:space="preserve">🖥️ Slide Visuals &amp; Elements: </w:t>
      </w:r>
      <w:r>
        <w:rPr>
          <w:sz w:val="20"/>
        </w:rPr>
        <w:t>Four distinct structured objective cards with clear color ribbons, numbering (01 to 04), and explicit research gap mappings in brackets on the right.</w:t>
      </w:r>
    </w:p>
    <w:tbl>
      <w:tblPr>
        <w:tblW w:w="0" w:type="auto"/>
        <w:jc w:val="center"/>
        <w:tblLayout w:type="fixed"/>
        <w:tblLook w:val="04A0" w:firstRow="1" w:lastRow="0" w:firstColumn="1" w:lastColumn="0" w:noHBand="0" w:noVBand="1"/>
      </w:tblPr>
      <w:tblGrid>
        <w:gridCol w:w="9360"/>
      </w:tblGrid>
      <w:tr w:rsidR="00336371" w14:paraId="1D6C7EBB" w14:textId="77777777">
        <w:trPr>
          <w:jc w:val="center"/>
        </w:trPr>
        <w:tc>
          <w:tcPr>
            <w:tcW w:w="9360" w:type="dxa"/>
            <w:tcBorders>
              <w:left w:val="single" w:sz="36" w:space="0" w:color="2C3461"/>
            </w:tcBorders>
            <w:shd w:val="clear" w:color="auto" w:fill="EEEBE0"/>
            <w:tcMar>
              <w:top w:w="160" w:type="dxa"/>
              <w:left w:w="220" w:type="dxa"/>
              <w:bottom w:w="160" w:type="dxa"/>
              <w:right w:w="220" w:type="dxa"/>
            </w:tcMar>
          </w:tcPr>
          <w:p w14:paraId="41881A7A" w14:textId="77777777" w:rsidR="00336371" w:rsidRDefault="00000000">
            <w:pPr>
              <w:spacing w:after="80"/>
              <w:rPr>
                <w:rFonts w:hint="eastAsia"/>
              </w:rPr>
            </w:pPr>
            <w:r>
              <w:rPr>
                <w:b/>
                <w:color w:val="2C3461"/>
              </w:rPr>
              <w:lastRenderedPageBreak/>
              <w:t>📌 SPOKEN PRESENTATION SCRIPT (Slide 2)</w:t>
            </w:r>
            <w:r>
              <w:rPr>
                <w:b/>
                <w:color w:val="2C3461"/>
              </w:rPr>
              <w:br/>
            </w:r>
            <w:r>
              <w:rPr>
                <w:sz w:val="20"/>
              </w:rPr>
              <w:t>"Moving to Slide 2: Rather than proposing generic goals, our four research objectives directly address specific, unsolved failure modes in today's state-of-the-art scanners:</w:t>
            </w:r>
            <w:r>
              <w:rPr>
                <w:sz w:val="20"/>
              </w:rPr>
              <w:br/>
            </w:r>
            <w:r>
              <w:rPr>
                <w:sz w:val="20"/>
              </w:rPr>
              <w:br/>
              <w:t>1. Objective 1: Multi-Domain Security Graphing &amp; GNN Detection. Traditional tools suffer from single-file blindness. Our GNN unifies Kubernetes YAMLs, IAM JSONs, and SAM templates into a single directed graph to discover chained attack paths.</w:t>
            </w:r>
            <w:r>
              <w:rPr>
                <w:sz w:val="20"/>
              </w:rPr>
              <w:br/>
            </w:r>
            <w:r>
              <w:rPr>
                <w:sz w:val="20"/>
              </w:rPr>
              <w:br/>
              <w:t>2. Objective 2: Context-Aware Intent Understanding via NLP. Static rules cannot tell whether an open S3 bucket is a dangerous leak or an intentional public website asset. We extract inline comments and metadata to suppress false alarms.</w:t>
            </w:r>
            <w:r>
              <w:rPr>
                <w:sz w:val="20"/>
              </w:rPr>
              <w:br/>
            </w:r>
            <w:r>
              <w:rPr>
                <w:sz w:val="20"/>
              </w:rPr>
              <w:br/>
              <w:t>3. Objective 3: Tiered Hybrid Machine Learning Triage. Direct LLM auditing is prohibitively expensive ($0.03 per file) and slow. We deploy a local Calibrated Random Forest that resolves over 90% of files locally in under 2 milliseconds, escalating only ambiguous edge cases to LLMs.</w:t>
            </w:r>
            <w:r>
              <w:rPr>
                <w:sz w:val="20"/>
              </w:rPr>
              <w:br/>
            </w:r>
            <w:r>
              <w:rPr>
                <w:sz w:val="20"/>
              </w:rPr>
              <w:br/>
              <w:t>4. Objective 4: Explainable XAI &amp; Compiler-Validated Remediation. Scanners often provide broken or syntactically invalid fix snippets. We combine SHAP feature attributions with a closed-loop compiler validation engine to guarantee 100% syntactically valid YAML patches."</w:t>
            </w:r>
          </w:p>
        </w:tc>
      </w:tr>
    </w:tbl>
    <w:p w14:paraId="66469F8D" w14:textId="77777777" w:rsidR="00336371" w:rsidRDefault="00336371">
      <w:pPr>
        <w:spacing w:after="120"/>
        <w:rPr>
          <w:rFonts w:hint="eastAsia"/>
        </w:rPr>
      </w:pPr>
    </w:p>
    <w:tbl>
      <w:tblPr>
        <w:tblW w:w="0" w:type="auto"/>
        <w:jc w:val="center"/>
        <w:tblLayout w:type="fixed"/>
        <w:tblLook w:val="04A0" w:firstRow="1" w:lastRow="0" w:firstColumn="1" w:lastColumn="0" w:noHBand="0" w:noVBand="1"/>
      </w:tblPr>
      <w:tblGrid>
        <w:gridCol w:w="9360"/>
      </w:tblGrid>
      <w:tr w:rsidR="00336371" w14:paraId="17958E6A" w14:textId="77777777">
        <w:trPr>
          <w:jc w:val="center"/>
        </w:trPr>
        <w:tc>
          <w:tcPr>
            <w:tcW w:w="9360" w:type="dxa"/>
            <w:tcBorders>
              <w:left w:val="single" w:sz="36" w:space="0" w:color="5C6898"/>
            </w:tcBorders>
            <w:shd w:val="clear" w:color="auto" w:fill="ECE9E0"/>
            <w:tcMar>
              <w:top w:w="160" w:type="dxa"/>
              <w:left w:w="220" w:type="dxa"/>
              <w:bottom w:w="160" w:type="dxa"/>
              <w:right w:w="220" w:type="dxa"/>
            </w:tcMar>
          </w:tcPr>
          <w:p w14:paraId="3E63D956" w14:textId="77777777" w:rsidR="00336371" w:rsidRDefault="00000000">
            <w:pPr>
              <w:spacing w:after="80"/>
              <w:rPr>
                <w:rFonts w:hint="eastAsia"/>
              </w:rPr>
            </w:pPr>
            <w:r>
              <w:rPr>
                <w:b/>
                <w:color w:val="2C3461"/>
              </w:rPr>
              <w:t>📌 TECHNICAL BACKGROUND &amp; EXAMINER CONTEXT</w:t>
            </w:r>
            <w:r>
              <w:rPr>
                <w:b/>
                <w:color w:val="2C3461"/>
              </w:rPr>
              <w:br/>
            </w:r>
            <w:r>
              <w:rPr>
                <w:sz w:val="20"/>
              </w:rPr>
              <w:t>Key Terminology to Emphasize: 'Tiered Triage' (Fast RF -&gt; Deep LLM), 'Closed-Loop Validation' (syntax &amp; schema checks before patch delivery), 'Multi-Domain' (K8s + IAM + SAM).</w:t>
            </w:r>
          </w:p>
        </w:tc>
      </w:tr>
    </w:tbl>
    <w:p w14:paraId="5F8527A3" w14:textId="77777777" w:rsidR="00336371" w:rsidRDefault="00336371">
      <w:pPr>
        <w:spacing w:after="120"/>
        <w:rPr>
          <w:rFonts w:hint="eastAsia"/>
        </w:rPr>
      </w:pPr>
    </w:p>
    <w:p w14:paraId="124E7BB9" w14:textId="77777777" w:rsidR="00336371" w:rsidRDefault="00336371">
      <w:pPr>
        <w:spacing w:after="160"/>
        <w:rPr>
          <w:rFonts w:hint="eastAsia"/>
        </w:rPr>
      </w:pPr>
    </w:p>
    <w:p w14:paraId="67ED2413" w14:textId="77777777" w:rsidR="00336371" w:rsidRDefault="00000000">
      <w:pPr>
        <w:pStyle w:val="Heading2"/>
      </w:pPr>
      <w:r>
        <w:t>Slide 3: Section II — Methodology: 4-Stage Hybrid Machine Learning Pipeline</w:t>
      </w:r>
    </w:p>
    <w:p w14:paraId="0F8DCBC4" w14:textId="77777777" w:rsidR="00336371" w:rsidRDefault="00000000">
      <w:pPr>
        <w:spacing w:before="40" w:after="80"/>
        <w:rPr>
          <w:rFonts w:hint="eastAsia"/>
        </w:rPr>
      </w:pPr>
      <w:r>
        <w:rPr>
          <w:b/>
          <w:color w:val="5C6898"/>
        </w:rPr>
        <w:t xml:space="preserve">🖥️ Slide Visuals &amp; Elements: </w:t>
      </w:r>
      <w:r>
        <w:rPr>
          <w:sz w:val="20"/>
        </w:rPr>
        <w:t>Four connected sequential stage cards with navy headers, module file mappings [ast_extractor.py, gnn_model.py, rf_classifier.py, compiler_loop.py], and visual directional arrows.</w:t>
      </w:r>
    </w:p>
    <w:tbl>
      <w:tblPr>
        <w:tblW w:w="0" w:type="auto"/>
        <w:jc w:val="center"/>
        <w:tblLayout w:type="fixed"/>
        <w:tblLook w:val="04A0" w:firstRow="1" w:lastRow="0" w:firstColumn="1" w:lastColumn="0" w:noHBand="0" w:noVBand="1"/>
      </w:tblPr>
      <w:tblGrid>
        <w:gridCol w:w="9360"/>
      </w:tblGrid>
      <w:tr w:rsidR="00336371" w14:paraId="120F94BB" w14:textId="77777777">
        <w:trPr>
          <w:jc w:val="center"/>
        </w:trPr>
        <w:tc>
          <w:tcPr>
            <w:tcW w:w="9360" w:type="dxa"/>
            <w:tcBorders>
              <w:left w:val="single" w:sz="36" w:space="0" w:color="2C3461"/>
            </w:tcBorders>
            <w:shd w:val="clear" w:color="auto" w:fill="EEEBE0"/>
            <w:tcMar>
              <w:top w:w="160" w:type="dxa"/>
              <w:left w:w="220" w:type="dxa"/>
              <w:bottom w:w="160" w:type="dxa"/>
              <w:right w:w="220" w:type="dxa"/>
            </w:tcMar>
          </w:tcPr>
          <w:p w14:paraId="4DCED008" w14:textId="77777777" w:rsidR="00336371" w:rsidRDefault="00000000">
            <w:pPr>
              <w:spacing w:after="80"/>
              <w:rPr>
                <w:rFonts w:hint="eastAsia"/>
              </w:rPr>
            </w:pPr>
            <w:r>
              <w:rPr>
                <w:b/>
                <w:color w:val="2C3461"/>
              </w:rPr>
              <w:t>📌 SPOKEN PRESENTATION SCRIPT (Slide 3)</w:t>
            </w:r>
            <w:r>
              <w:rPr>
                <w:b/>
                <w:color w:val="2C3461"/>
              </w:rPr>
              <w:br/>
            </w:r>
            <w:r>
              <w:rPr>
                <w:sz w:val="20"/>
              </w:rPr>
              <w:t>"On Slide 3, you see the architectural pipeline of our framework, spanning four distinct stages:</w:t>
            </w:r>
            <w:r>
              <w:rPr>
                <w:sz w:val="20"/>
              </w:rPr>
              <w:br/>
            </w:r>
            <w:r>
              <w:rPr>
                <w:sz w:val="20"/>
              </w:rPr>
              <w:br/>
              <w:t>• Stage 1 is the Abstract Syntax Tree (AST) Parser. It parses raw configuration manifests and extracts a dense 64-dimensional numerical feature vector capturing container privileges, RBAC rules, IAM permissions, and structural complexity.</w:t>
            </w:r>
            <w:r>
              <w:rPr>
                <w:sz w:val="20"/>
              </w:rPr>
              <w:br/>
            </w:r>
            <w:r>
              <w:rPr>
                <w:sz w:val="20"/>
              </w:rPr>
              <w:br/>
              <w:t>• Stage 2 is the Heterogeneous Security Graph. It ingests resources across domains as distinct node types—such as Pods, IAM Roles, and S3 Storage—and trains a PyTorch HeteroGNN to propagate security context across files.</w:t>
            </w:r>
            <w:r>
              <w:rPr>
                <w:sz w:val="20"/>
              </w:rPr>
              <w:br/>
            </w:r>
            <w:r>
              <w:rPr>
                <w:sz w:val="20"/>
              </w:rPr>
              <w:br/>
              <w:t xml:space="preserve">• Stage 3 is our Tiered ML-LLM Triage Engine. The 64-D feature vector is first evaluated by a </w:t>
            </w:r>
            <w:r>
              <w:rPr>
                <w:sz w:val="20"/>
              </w:rPr>
              <w:lastRenderedPageBreak/>
              <w:t>Sigmoid-calibrated Random Forest. If the prediction confidence exceeds 90%, it makes an instant decision. If confidence is below 90%, the file is escalated to an LLM Chain-of-Thought agent for deep semantic reasoning.</w:t>
            </w:r>
            <w:r>
              <w:rPr>
                <w:sz w:val="20"/>
              </w:rPr>
              <w:br/>
            </w:r>
            <w:r>
              <w:rPr>
                <w:sz w:val="20"/>
              </w:rPr>
              <w:br/>
              <w:t>• Finally, Stage 4 provides Explainable Remediation. SHAP computes exact Shapley values to pinpoint the exact triggering lines, and our Compiler Loop tests the generated patch against a live YAML/JSON validator to prevent infrastructure downtime."</w:t>
            </w:r>
          </w:p>
        </w:tc>
      </w:tr>
    </w:tbl>
    <w:p w14:paraId="7AC98AE5" w14:textId="77777777" w:rsidR="00336371" w:rsidRDefault="00336371">
      <w:pPr>
        <w:spacing w:after="120"/>
        <w:rPr>
          <w:rFonts w:hint="eastAsia"/>
        </w:rPr>
      </w:pPr>
    </w:p>
    <w:tbl>
      <w:tblPr>
        <w:tblW w:w="0" w:type="auto"/>
        <w:jc w:val="center"/>
        <w:tblLayout w:type="fixed"/>
        <w:tblLook w:val="04A0" w:firstRow="1" w:lastRow="0" w:firstColumn="1" w:lastColumn="0" w:noHBand="0" w:noVBand="1"/>
      </w:tblPr>
      <w:tblGrid>
        <w:gridCol w:w="9360"/>
      </w:tblGrid>
      <w:tr w:rsidR="00336371" w14:paraId="2777FDC9" w14:textId="77777777">
        <w:trPr>
          <w:jc w:val="center"/>
        </w:trPr>
        <w:tc>
          <w:tcPr>
            <w:tcW w:w="9360" w:type="dxa"/>
            <w:tcBorders>
              <w:left w:val="single" w:sz="36" w:space="0" w:color="5C6898"/>
            </w:tcBorders>
            <w:shd w:val="clear" w:color="auto" w:fill="ECE9E0"/>
            <w:tcMar>
              <w:top w:w="160" w:type="dxa"/>
              <w:left w:w="220" w:type="dxa"/>
              <w:bottom w:w="160" w:type="dxa"/>
              <w:right w:w="220" w:type="dxa"/>
            </w:tcMar>
          </w:tcPr>
          <w:p w14:paraId="20E25F8A" w14:textId="77777777" w:rsidR="00336371" w:rsidRDefault="00000000">
            <w:pPr>
              <w:spacing w:after="80"/>
              <w:rPr>
                <w:rFonts w:hint="eastAsia"/>
              </w:rPr>
            </w:pPr>
            <w:r>
              <w:rPr>
                <w:b/>
                <w:color w:val="2C3461"/>
              </w:rPr>
              <w:t>📌 TECHNICAL BACKGROUND &amp; EXAMINER CONTEXT</w:t>
            </w:r>
            <w:r>
              <w:rPr>
                <w:b/>
                <w:color w:val="2C3461"/>
              </w:rPr>
              <w:br/>
            </w:r>
            <w:r>
              <w:rPr>
                <w:sz w:val="20"/>
              </w:rPr>
              <w:t>Architectural Flow: Manifest -&gt; AST Extractor (64-D) -&gt; Graph Builder -&gt; PyTorch GNN &amp; RF Classifier (Stage 3A) -&gt; LLM Escalator (Stage 3B if &lt;0.90 conf) -&gt; SHAP Explainer + Compiler Loop (Stage 4).</w:t>
            </w:r>
          </w:p>
        </w:tc>
      </w:tr>
    </w:tbl>
    <w:p w14:paraId="414FDAE4" w14:textId="77777777" w:rsidR="00336371" w:rsidRDefault="00336371">
      <w:pPr>
        <w:spacing w:after="120"/>
        <w:rPr>
          <w:rFonts w:hint="eastAsia"/>
        </w:rPr>
      </w:pPr>
    </w:p>
    <w:p w14:paraId="2F8D329F" w14:textId="77777777" w:rsidR="00336371" w:rsidRDefault="00336371">
      <w:pPr>
        <w:spacing w:after="160"/>
        <w:rPr>
          <w:rFonts w:hint="eastAsia"/>
        </w:rPr>
      </w:pPr>
    </w:p>
    <w:p w14:paraId="56DBD6C7" w14:textId="77777777" w:rsidR="00336371" w:rsidRDefault="00000000">
      <w:pPr>
        <w:pStyle w:val="Heading2"/>
      </w:pPr>
      <w:r>
        <w:t>Slide 4: Section II — Methodology Highlight: Cross-Resource Attack Graph</w:t>
      </w:r>
    </w:p>
    <w:p w14:paraId="4ACB620A" w14:textId="77777777" w:rsidR="00336371" w:rsidRDefault="00000000">
      <w:pPr>
        <w:spacing w:before="40" w:after="80"/>
        <w:rPr>
          <w:rFonts w:hint="eastAsia"/>
        </w:rPr>
      </w:pPr>
      <w:r>
        <w:rPr>
          <w:b/>
          <w:color w:val="5C6898"/>
        </w:rPr>
        <w:t xml:space="preserve">🖥️ Slide Visuals &amp; Elements: </w:t>
      </w:r>
      <w:r>
        <w:rPr>
          <w:sz w:val="20"/>
        </w:rPr>
        <w:t>Top: A 4-node lateral attack chain (Pod -&gt; ServiceAccount -&gt; ClusterRole -&gt; S3 Bucket). Bottom: Side-by-side comparison between Traditional Scanners (Red box) vs Our GNN Architecture (Green box).</w:t>
      </w:r>
    </w:p>
    <w:tbl>
      <w:tblPr>
        <w:tblW w:w="0" w:type="auto"/>
        <w:jc w:val="center"/>
        <w:tblLayout w:type="fixed"/>
        <w:tblLook w:val="04A0" w:firstRow="1" w:lastRow="0" w:firstColumn="1" w:lastColumn="0" w:noHBand="0" w:noVBand="1"/>
      </w:tblPr>
      <w:tblGrid>
        <w:gridCol w:w="9360"/>
      </w:tblGrid>
      <w:tr w:rsidR="00336371" w14:paraId="108F4F61" w14:textId="77777777">
        <w:trPr>
          <w:jc w:val="center"/>
        </w:trPr>
        <w:tc>
          <w:tcPr>
            <w:tcW w:w="9360" w:type="dxa"/>
            <w:tcBorders>
              <w:left w:val="single" w:sz="36" w:space="0" w:color="2C3461"/>
            </w:tcBorders>
            <w:shd w:val="clear" w:color="auto" w:fill="EEEBE0"/>
            <w:tcMar>
              <w:top w:w="160" w:type="dxa"/>
              <w:left w:w="220" w:type="dxa"/>
              <w:bottom w:w="160" w:type="dxa"/>
              <w:right w:w="220" w:type="dxa"/>
            </w:tcMar>
          </w:tcPr>
          <w:p w14:paraId="777CF9FD" w14:textId="77777777" w:rsidR="00336371" w:rsidRDefault="00000000">
            <w:pPr>
              <w:spacing w:after="80"/>
              <w:rPr>
                <w:rFonts w:hint="eastAsia"/>
              </w:rPr>
            </w:pPr>
            <w:r>
              <w:rPr>
                <w:b/>
                <w:color w:val="2C3461"/>
              </w:rPr>
              <w:t>📌 SPOKEN PRESENTATION SCRIPT (Slide 4)</w:t>
            </w:r>
            <w:r>
              <w:rPr>
                <w:b/>
                <w:color w:val="2C3461"/>
              </w:rPr>
              <w:br/>
            </w:r>
            <w:r>
              <w:rPr>
                <w:sz w:val="20"/>
              </w:rPr>
              <w:t>"Slide 4 illustrates our most significant algorithmic contribution: the Cross-Resource Threat Graph. Consider this real-world scenario spanning three separate configuration files:</w:t>
            </w:r>
            <w:r>
              <w:rPr>
                <w:sz w:val="20"/>
              </w:rPr>
              <w:br/>
            </w:r>
            <w:r>
              <w:rPr>
                <w:sz w:val="20"/>
              </w:rPr>
              <w:br/>
              <w:t>In File 1, a Kubernetes deployment has a standard container with automountServiceAccountToken enabled. In File 2, an RBAC binding grants that ServiceAccount a cluster-admin role with wildcard verbs (*). In File 3, a CloudFormation template defines a private S3 data bucket.</w:t>
            </w:r>
            <w:r>
              <w:rPr>
                <w:sz w:val="20"/>
              </w:rPr>
              <w:br/>
            </w:r>
            <w:r>
              <w:rPr>
                <w:sz w:val="20"/>
              </w:rPr>
              <w:br/>
              <w:t>If you run a traditional scanner like Checkov or KubeLinter, it inspects File 1 and issues a minor warning. It inspects File 2 and sees valid RBAC syntax. It inspects File 3 and sees a standard bucket. These tools are completely BLIND to the cross-file link!</w:t>
            </w:r>
            <w:r>
              <w:rPr>
                <w:sz w:val="20"/>
              </w:rPr>
              <w:br/>
            </w:r>
            <w:r>
              <w:rPr>
                <w:sz w:val="20"/>
              </w:rPr>
              <w:br/>
              <w:t>Our GNN models these resources as interconnected nodes. Message passing across the graph reveals that a compromised container in File 1 can steal the ServiceAccount token from File 2 to exfiltrate private database backups in File 3. Our GNN catches this full lateral privilege escalation chain as a single unified Critical risk."</w:t>
            </w:r>
          </w:p>
        </w:tc>
      </w:tr>
    </w:tbl>
    <w:p w14:paraId="64E50870" w14:textId="77777777" w:rsidR="00336371" w:rsidRDefault="00336371">
      <w:pPr>
        <w:spacing w:after="120"/>
        <w:rPr>
          <w:rFonts w:hint="eastAsia"/>
        </w:rPr>
      </w:pPr>
    </w:p>
    <w:tbl>
      <w:tblPr>
        <w:tblW w:w="0" w:type="auto"/>
        <w:jc w:val="center"/>
        <w:tblLayout w:type="fixed"/>
        <w:tblLook w:val="04A0" w:firstRow="1" w:lastRow="0" w:firstColumn="1" w:lastColumn="0" w:noHBand="0" w:noVBand="1"/>
      </w:tblPr>
      <w:tblGrid>
        <w:gridCol w:w="9360"/>
      </w:tblGrid>
      <w:tr w:rsidR="00336371" w14:paraId="25DC5E7A" w14:textId="77777777">
        <w:trPr>
          <w:jc w:val="center"/>
        </w:trPr>
        <w:tc>
          <w:tcPr>
            <w:tcW w:w="9360" w:type="dxa"/>
            <w:tcBorders>
              <w:left w:val="single" w:sz="36" w:space="0" w:color="5C6898"/>
            </w:tcBorders>
            <w:shd w:val="clear" w:color="auto" w:fill="ECE9E0"/>
            <w:tcMar>
              <w:top w:w="160" w:type="dxa"/>
              <w:left w:w="220" w:type="dxa"/>
              <w:bottom w:w="160" w:type="dxa"/>
              <w:right w:w="220" w:type="dxa"/>
            </w:tcMar>
          </w:tcPr>
          <w:p w14:paraId="4181A67A" w14:textId="77777777" w:rsidR="00336371" w:rsidRDefault="00000000">
            <w:pPr>
              <w:spacing w:after="80"/>
              <w:rPr>
                <w:rFonts w:hint="eastAsia"/>
              </w:rPr>
            </w:pPr>
            <w:r>
              <w:rPr>
                <w:b/>
                <w:color w:val="2C3461"/>
              </w:rPr>
              <w:t>📌 TECHNICAL BACKGROUND &amp; EXAMINER CONTEXT</w:t>
            </w:r>
            <w:r>
              <w:rPr>
                <w:b/>
                <w:color w:val="2C3461"/>
              </w:rPr>
              <w:br/>
            </w:r>
            <w:r>
              <w:rPr>
                <w:sz w:val="20"/>
              </w:rPr>
              <w:t>Graph Theory Details: Heterogeneous Graph with node types {Pod, ServiceAccount, RoleBinding, S3Bucket} and edge types {mounts, binds_to, permissions_over}. Message passing aggregates 2-hop neighborhood representations.</w:t>
            </w:r>
          </w:p>
        </w:tc>
      </w:tr>
    </w:tbl>
    <w:p w14:paraId="12214517" w14:textId="77777777" w:rsidR="00336371" w:rsidRDefault="00336371">
      <w:pPr>
        <w:spacing w:after="120"/>
        <w:rPr>
          <w:rFonts w:hint="eastAsia"/>
        </w:rPr>
      </w:pPr>
    </w:p>
    <w:p w14:paraId="216443DF" w14:textId="77777777" w:rsidR="00336371" w:rsidRDefault="00336371">
      <w:pPr>
        <w:spacing w:after="160"/>
        <w:rPr>
          <w:rFonts w:hint="eastAsia"/>
        </w:rPr>
      </w:pPr>
    </w:p>
    <w:p w14:paraId="1E8C848D" w14:textId="77777777" w:rsidR="00336371" w:rsidRDefault="00000000">
      <w:pPr>
        <w:pStyle w:val="Heading2"/>
      </w:pPr>
      <w:r>
        <w:t>Slide 5: Section III — Experimental Core Details: Dataset, Features &amp; Hyperparameters</w:t>
      </w:r>
    </w:p>
    <w:p w14:paraId="0FC5D417" w14:textId="77777777" w:rsidR="00336371" w:rsidRDefault="00000000">
      <w:pPr>
        <w:spacing w:before="40" w:after="80"/>
        <w:rPr>
          <w:rFonts w:hint="eastAsia"/>
        </w:rPr>
      </w:pPr>
      <w:r>
        <w:rPr>
          <w:b/>
          <w:color w:val="5C6898"/>
        </w:rPr>
        <w:t xml:space="preserve">🖥️ Slide Visuals &amp; Elements: </w:t>
      </w:r>
      <w:r>
        <w:rPr>
          <w:sz w:val="20"/>
        </w:rPr>
        <w:t>Three structured column cards: (1) 1,100 Multi-Domain Dataset breakdown, (2) 64-D Feature Engineering categories, (3) Exact model hyperparameters (RF, GNN, NLP).</w:t>
      </w:r>
    </w:p>
    <w:tbl>
      <w:tblPr>
        <w:tblW w:w="0" w:type="auto"/>
        <w:jc w:val="center"/>
        <w:tblLayout w:type="fixed"/>
        <w:tblLook w:val="04A0" w:firstRow="1" w:lastRow="0" w:firstColumn="1" w:lastColumn="0" w:noHBand="0" w:noVBand="1"/>
      </w:tblPr>
      <w:tblGrid>
        <w:gridCol w:w="9360"/>
      </w:tblGrid>
      <w:tr w:rsidR="00336371" w14:paraId="73A727CB" w14:textId="77777777">
        <w:trPr>
          <w:jc w:val="center"/>
        </w:trPr>
        <w:tc>
          <w:tcPr>
            <w:tcW w:w="9360" w:type="dxa"/>
            <w:tcBorders>
              <w:left w:val="single" w:sz="36" w:space="0" w:color="2C3461"/>
            </w:tcBorders>
            <w:shd w:val="clear" w:color="auto" w:fill="EEEBE0"/>
            <w:tcMar>
              <w:top w:w="160" w:type="dxa"/>
              <w:left w:w="220" w:type="dxa"/>
              <w:bottom w:w="160" w:type="dxa"/>
              <w:right w:w="220" w:type="dxa"/>
            </w:tcMar>
          </w:tcPr>
          <w:p w14:paraId="3366390B" w14:textId="77777777" w:rsidR="00336371" w:rsidRDefault="00000000">
            <w:pPr>
              <w:spacing w:after="80"/>
              <w:rPr>
                <w:rFonts w:hint="eastAsia"/>
              </w:rPr>
            </w:pPr>
            <w:r>
              <w:rPr>
                <w:b/>
                <w:color w:val="2C3461"/>
              </w:rPr>
              <w:t>📌 SPOKEN PRESENTATION SCRIPT (Slide 5)</w:t>
            </w:r>
            <w:r>
              <w:rPr>
                <w:b/>
                <w:color w:val="2C3461"/>
              </w:rPr>
              <w:br/>
            </w:r>
            <w:r>
              <w:rPr>
                <w:sz w:val="20"/>
              </w:rPr>
              <w:t>"Turning to Slide 5, let us examine the experimental setup implemented in our notebook and codebase:</w:t>
            </w:r>
            <w:r>
              <w:rPr>
                <w:sz w:val="20"/>
              </w:rPr>
              <w:br/>
            </w:r>
            <w:r>
              <w:rPr>
                <w:sz w:val="20"/>
              </w:rPr>
              <w:br/>
              <w:t>First, our Dataset: We constructed a comprehensive benchmark of 1,100 manifests across three domains: 600 Kubernetes files (270 Compliant, 330 Misconfigured), 300 AWS IAM &amp; CloudFormation templates (135 Compliant, 165 Misconfigured), and 200 Serverless SAM files (90 Compliant, 110 Misconfigured).</w:t>
            </w:r>
            <w:r>
              <w:rPr>
                <w:sz w:val="20"/>
              </w:rPr>
              <w:br/>
            </w:r>
            <w:r>
              <w:rPr>
                <w:sz w:val="20"/>
              </w:rPr>
              <w:br/>
              <w:t>Second, our 64-D Feature Vector: We designed domain-specific numerical extractors: 13 features for container security context (privileged, hostNetwork, capabilities), 9 features for RBAC (wildcards, secrets access), 18 features for IAM/S3 (PassRole, Action:*, public ACLs), and 24 structural features (nesting depth, total keys, comments, and label counts).</w:t>
            </w:r>
            <w:r>
              <w:rPr>
                <w:sz w:val="20"/>
              </w:rPr>
              <w:br/>
            </w:r>
            <w:r>
              <w:rPr>
                <w:sz w:val="20"/>
              </w:rPr>
              <w:br/>
              <w:t>Third, Model Hyperparameters: Our Random Forest uses 500 decision trees with max depth of 20, wrapped in 5-fold Sigmoid calibration. Our GNN uses Hetero Relational Convolutions with 128 hidden channels, dropout of 0.20, trained using Adam optimizer with weight decay of 5e-4 over 200 epochs."</w:t>
            </w:r>
          </w:p>
        </w:tc>
      </w:tr>
    </w:tbl>
    <w:p w14:paraId="6EAE9DEA" w14:textId="77777777" w:rsidR="00336371" w:rsidRDefault="00336371">
      <w:pPr>
        <w:spacing w:after="120"/>
        <w:rPr>
          <w:rFonts w:hint="eastAsia"/>
        </w:rPr>
      </w:pPr>
    </w:p>
    <w:tbl>
      <w:tblPr>
        <w:tblW w:w="0" w:type="auto"/>
        <w:jc w:val="center"/>
        <w:tblLayout w:type="fixed"/>
        <w:tblLook w:val="04A0" w:firstRow="1" w:lastRow="0" w:firstColumn="1" w:lastColumn="0" w:noHBand="0" w:noVBand="1"/>
      </w:tblPr>
      <w:tblGrid>
        <w:gridCol w:w="9360"/>
      </w:tblGrid>
      <w:tr w:rsidR="00336371" w14:paraId="103BF094" w14:textId="77777777">
        <w:trPr>
          <w:jc w:val="center"/>
        </w:trPr>
        <w:tc>
          <w:tcPr>
            <w:tcW w:w="9360" w:type="dxa"/>
            <w:tcBorders>
              <w:left w:val="single" w:sz="36" w:space="0" w:color="5C6898"/>
            </w:tcBorders>
            <w:shd w:val="clear" w:color="auto" w:fill="ECE9E0"/>
            <w:tcMar>
              <w:top w:w="160" w:type="dxa"/>
              <w:left w:w="220" w:type="dxa"/>
              <w:bottom w:w="160" w:type="dxa"/>
              <w:right w:w="220" w:type="dxa"/>
            </w:tcMar>
          </w:tcPr>
          <w:p w14:paraId="3BED0DEC" w14:textId="77777777" w:rsidR="00336371" w:rsidRDefault="00000000">
            <w:pPr>
              <w:spacing w:after="80"/>
              <w:rPr>
                <w:rFonts w:hint="eastAsia"/>
              </w:rPr>
            </w:pPr>
            <w:r>
              <w:rPr>
                <w:b/>
                <w:color w:val="2C3461"/>
              </w:rPr>
              <w:t>📌 TECHNICAL BACKGROUND &amp; EXAMINER CONTEXT</w:t>
            </w:r>
            <w:r>
              <w:rPr>
                <w:b/>
                <w:color w:val="2C3461"/>
              </w:rPr>
              <w:br/>
            </w:r>
            <w:r>
              <w:rPr>
                <w:sz w:val="20"/>
              </w:rPr>
              <w:t>Data Split: 80% Train (880 files), 20% Test (220 files), stratified to preserve the exact class ratio.</w:t>
            </w:r>
          </w:p>
        </w:tc>
      </w:tr>
    </w:tbl>
    <w:p w14:paraId="66890912" w14:textId="77777777" w:rsidR="00336371" w:rsidRDefault="00336371">
      <w:pPr>
        <w:spacing w:after="120"/>
        <w:rPr>
          <w:rFonts w:hint="eastAsia"/>
        </w:rPr>
      </w:pPr>
    </w:p>
    <w:p w14:paraId="322DF74B" w14:textId="77777777" w:rsidR="00336371" w:rsidRDefault="00336371">
      <w:pPr>
        <w:spacing w:after="160"/>
        <w:rPr>
          <w:rFonts w:hint="eastAsia"/>
        </w:rPr>
      </w:pPr>
    </w:p>
    <w:p w14:paraId="2874C679" w14:textId="77777777" w:rsidR="00336371" w:rsidRDefault="00000000">
      <w:pPr>
        <w:pStyle w:val="Heading2"/>
      </w:pPr>
      <w:r>
        <w:t>Slide 6: Section IV — Results: Confusion Matrix &amp; Multi-Domain Metrics</w:t>
      </w:r>
    </w:p>
    <w:p w14:paraId="22EEDBB6" w14:textId="77777777" w:rsidR="00336371" w:rsidRDefault="00000000">
      <w:pPr>
        <w:spacing w:before="40" w:after="80"/>
        <w:rPr>
          <w:rFonts w:hint="eastAsia"/>
        </w:rPr>
      </w:pPr>
      <w:r>
        <w:rPr>
          <w:b/>
          <w:color w:val="5C6898"/>
        </w:rPr>
        <w:t xml:space="preserve">🖥️ Slide Visuals &amp; Elements: </w:t>
      </w:r>
      <w:r>
        <w:rPr>
          <w:sz w:val="20"/>
        </w:rPr>
        <w:t>Top: 4 Hero Metric cards. Left: Visual 2x2 Confusion Matrix Heatmap (TN=99, FP=0, FN=0, TP=121). Right: Multi-Domain Node F1 Breakdown. Bottom: Impact Banner, Verification Badge, and Honest Footnote on synthetic benchmark.</w:t>
      </w:r>
    </w:p>
    <w:tbl>
      <w:tblPr>
        <w:tblW w:w="0" w:type="auto"/>
        <w:jc w:val="center"/>
        <w:tblLayout w:type="fixed"/>
        <w:tblLook w:val="04A0" w:firstRow="1" w:lastRow="0" w:firstColumn="1" w:lastColumn="0" w:noHBand="0" w:noVBand="1"/>
      </w:tblPr>
      <w:tblGrid>
        <w:gridCol w:w="9360"/>
      </w:tblGrid>
      <w:tr w:rsidR="00336371" w14:paraId="1583F69B" w14:textId="77777777">
        <w:trPr>
          <w:jc w:val="center"/>
        </w:trPr>
        <w:tc>
          <w:tcPr>
            <w:tcW w:w="9360" w:type="dxa"/>
            <w:tcBorders>
              <w:left w:val="single" w:sz="36" w:space="0" w:color="2C3461"/>
            </w:tcBorders>
            <w:shd w:val="clear" w:color="auto" w:fill="EEEBE0"/>
            <w:tcMar>
              <w:top w:w="160" w:type="dxa"/>
              <w:left w:w="220" w:type="dxa"/>
              <w:bottom w:w="160" w:type="dxa"/>
              <w:right w:w="220" w:type="dxa"/>
            </w:tcMar>
          </w:tcPr>
          <w:p w14:paraId="406FA118" w14:textId="77777777" w:rsidR="00336371" w:rsidRDefault="00000000">
            <w:pPr>
              <w:spacing w:after="80"/>
              <w:rPr>
                <w:rFonts w:hint="eastAsia"/>
              </w:rPr>
            </w:pPr>
            <w:r>
              <w:rPr>
                <w:b/>
                <w:color w:val="2C3461"/>
              </w:rPr>
              <w:t>📌 SPOKEN PRESENTATION SCRIPT (Slide 6)</w:t>
            </w:r>
            <w:r>
              <w:rPr>
                <w:b/>
                <w:color w:val="2C3461"/>
              </w:rPr>
              <w:br/>
            </w:r>
            <w:r>
              <w:rPr>
                <w:sz w:val="20"/>
              </w:rPr>
              <w:t>"Slide 6 presents our quantitative experimental evaluation on the held-out test set of 220 manifests:</w:t>
            </w:r>
            <w:r>
              <w:rPr>
                <w:sz w:val="20"/>
              </w:rPr>
              <w:br/>
            </w:r>
            <w:r>
              <w:rPr>
                <w:sz w:val="20"/>
              </w:rPr>
              <w:br/>
              <w:t>Looking at the confusion matrix on the left:</w:t>
            </w:r>
            <w:r>
              <w:rPr>
                <w:sz w:val="20"/>
              </w:rPr>
              <w:br/>
              <w:t>• True Negatives (TN): 99 out of 99 compliant files were correctly classified as clean (45.0% of test set).</w:t>
            </w:r>
            <w:r>
              <w:rPr>
                <w:sz w:val="20"/>
              </w:rPr>
              <w:br/>
              <w:t xml:space="preserve">• True Positives (TP): 121 out of 121 misconfigured files were correctly identified as security threats </w:t>
            </w:r>
            <w:r>
              <w:rPr>
                <w:sz w:val="20"/>
              </w:rPr>
              <w:lastRenderedPageBreak/>
              <w:t>(55.0% of test set).</w:t>
            </w:r>
            <w:r>
              <w:rPr>
                <w:sz w:val="20"/>
              </w:rPr>
              <w:br/>
              <w:t>• False Positives (FP): Exactly ZERO false alarms, completely eliminating developer alert fatigue.</w:t>
            </w:r>
            <w:r>
              <w:rPr>
                <w:sz w:val="20"/>
              </w:rPr>
              <w:br/>
              <w:t>• False Negatives (FN): Crucially, ZERO missed threats, ensuring no dangerous configuration reaches production!</w:t>
            </w:r>
            <w:r>
              <w:rPr>
                <w:sz w:val="20"/>
              </w:rPr>
              <w:br/>
            </w:r>
            <w:r>
              <w:rPr>
                <w:sz w:val="20"/>
              </w:rPr>
              <w:br/>
              <w:t>Across all three domains—Kubernetes pods, IAM policies, and Serverless SAM—our model achieved an F1-Score of 1.0000 and ROC-AUC of 1.0000.</w:t>
            </w:r>
            <w:r>
              <w:rPr>
                <w:sz w:val="20"/>
              </w:rPr>
              <w:br/>
            </w:r>
            <w:r>
              <w:rPr>
                <w:sz w:val="20"/>
              </w:rPr>
              <w:br/>
              <w:t>Now, we want to provide an honest, scientific note regarding this 100% accuracy: As stated in our bottom footnote, this perfect performance was achieved on a controlled synthetic benchmark where security flaws were programmatically injected. The Random Forest easily learned the clean separation of these engineered features. In messy, real-world production codebases, noise and edge cases exist—which brings us directly to our limitations on the next slide."</w:t>
            </w:r>
          </w:p>
        </w:tc>
      </w:tr>
    </w:tbl>
    <w:p w14:paraId="02984678" w14:textId="77777777" w:rsidR="00336371" w:rsidRDefault="00336371">
      <w:pPr>
        <w:spacing w:after="120"/>
        <w:rPr>
          <w:rFonts w:hint="eastAsia"/>
        </w:rPr>
      </w:pPr>
    </w:p>
    <w:tbl>
      <w:tblPr>
        <w:tblW w:w="0" w:type="auto"/>
        <w:jc w:val="center"/>
        <w:tblLayout w:type="fixed"/>
        <w:tblLook w:val="04A0" w:firstRow="1" w:lastRow="0" w:firstColumn="1" w:lastColumn="0" w:noHBand="0" w:noVBand="1"/>
      </w:tblPr>
      <w:tblGrid>
        <w:gridCol w:w="9360"/>
      </w:tblGrid>
      <w:tr w:rsidR="00336371" w14:paraId="31CB1475" w14:textId="77777777">
        <w:trPr>
          <w:jc w:val="center"/>
        </w:trPr>
        <w:tc>
          <w:tcPr>
            <w:tcW w:w="9360" w:type="dxa"/>
            <w:tcBorders>
              <w:left w:val="single" w:sz="36" w:space="0" w:color="5C6898"/>
            </w:tcBorders>
            <w:shd w:val="clear" w:color="auto" w:fill="ECE9E0"/>
            <w:tcMar>
              <w:top w:w="160" w:type="dxa"/>
              <w:left w:w="220" w:type="dxa"/>
              <w:bottom w:w="160" w:type="dxa"/>
              <w:right w:w="220" w:type="dxa"/>
            </w:tcMar>
          </w:tcPr>
          <w:p w14:paraId="26D418E0" w14:textId="77777777" w:rsidR="00336371" w:rsidRDefault="00000000">
            <w:pPr>
              <w:spacing w:after="80"/>
              <w:rPr>
                <w:rFonts w:hint="eastAsia"/>
              </w:rPr>
            </w:pPr>
            <w:r>
              <w:rPr>
                <w:b/>
                <w:color w:val="2C3461"/>
              </w:rPr>
              <w:t>📌 TECHNICAL BACKGROUND &amp; EXAMINER CONTEXT</w:t>
            </w:r>
            <w:r>
              <w:rPr>
                <w:b/>
                <w:color w:val="2C3461"/>
              </w:rPr>
              <w:br/>
            </w:r>
            <w:r>
              <w:rPr>
                <w:sz w:val="20"/>
              </w:rPr>
              <w:t>Why 100% Accuracy Happened: Top features like total_keys_norm (19% importance), nesting_depth_norm (7.2%), and iam_cross_account_trust (6.4%) formed a clean hyperplane. Re-running evaluate_rf.py confirmed 99 TN and 121 TP independently.</w:t>
            </w:r>
          </w:p>
        </w:tc>
      </w:tr>
    </w:tbl>
    <w:p w14:paraId="56DC9722" w14:textId="77777777" w:rsidR="00336371" w:rsidRDefault="00336371">
      <w:pPr>
        <w:spacing w:after="120"/>
        <w:rPr>
          <w:rFonts w:hint="eastAsia"/>
        </w:rPr>
      </w:pPr>
    </w:p>
    <w:p w14:paraId="679EC9E4" w14:textId="77777777" w:rsidR="00336371" w:rsidRDefault="00336371">
      <w:pPr>
        <w:spacing w:after="160"/>
        <w:rPr>
          <w:rFonts w:hint="eastAsia"/>
        </w:rPr>
      </w:pPr>
    </w:p>
    <w:p w14:paraId="51B4282A" w14:textId="77777777" w:rsidR="00336371" w:rsidRDefault="00000000">
      <w:pPr>
        <w:pStyle w:val="Heading2"/>
      </w:pPr>
      <w:r>
        <w:t>Slide 7: Section V — Limitations: Current Boundaries &amp; Scientific Critical Analysis</w:t>
      </w:r>
    </w:p>
    <w:p w14:paraId="0775A229" w14:textId="77777777" w:rsidR="00336371" w:rsidRDefault="00000000">
      <w:pPr>
        <w:spacing w:before="40" w:after="80"/>
        <w:rPr>
          <w:rFonts w:hint="eastAsia"/>
        </w:rPr>
      </w:pPr>
      <w:r>
        <w:rPr>
          <w:b/>
          <w:color w:val="5C6898"/>
        </w:rPr>
        <w:t xml:space="preserve">🖥️ Slide Visuals &amp; Elements: </w:t>
      </w:r>
      <w:r>
        <w:rPr>
          <w:sz w:val="20"/>
        </w:rPr>
        <w:t>Four stacked horizontal limitation cards with distinct color tags: (1) Synthetic Benchmark vs Wild Diversity, (2) Graph Scalability on Multi-Tenant Clusters, (3) Inference Latency on LLM Escalation, (4) Cross-Cloud Semantic Policy Drift.</w:t>
      </w:r>
    </w:p>
    <w:tbl>
      <w:tblPr>
        <w:tblW w:w="0" w:type="auto"/>
        <w:jc w:val="center"/>
        <w:tblLayout w:type="fixed"/>
        <w:tblLook w:val="04A0" w:firstRow="1" w:lastRow="0" w:firstColumn="1" w:lastColumn="0" w:noHBand="0" w:noVBand="1"/>
      </w:tblPr>
      <w:tblGrid>
        <w:gridCol w:w="9360"/>
      </w:tblGrid>
      <w:tr w:rsidR="00336371" w14:paraId="50838677" w14:textId="77777777">
        <w:trPr>
          <w:jc w:val="center"/>
        </w:trPr>
        <w:tc>
          <w:tcPr>
            <w:tcW w:w="9360" w:type="dxa"/>
            <w:tcBorders>
              <w:left w:val="single" w:sz="36" w:space="0" w:color="2C3461"/>
            </w:tcBorders>
            <w:shd w:val="clear" w:color="auto" w:fill="EEEBE0"/>
            <w:tcMar>
              <w:top w:w="160" w:type="dxa"/>
              <w:left w:w="220" w:type="dxa"/>
              <w:bottom w:w="160" w:type="dxa"/>
              <w:right w:w="220" w:type="dxa"/>
            </w:tcMar>
          </w:tcPr>
          <w:p w14:paraId="46DABCA3" w14:textId="77777777" w:rsidR="00336371" w:rsidRDefault="00000000">
            <w:pPr>
              <w:spacing w:after="80"/>
              <w:rPr>
                <w:rFonts w:hint="eastAsia"/>
              </w:rPr>
            </w:pPr>
            <w:r>
              <w:rPr>
                <w:b/>
                <w:color w:val="2C3461"/>
              </w:rPr>
              <w:t>📌 SPOKEN PRESENTATION SCRIPT (Slide 7)</w:t>
            </w:r>
            <w:r>
              <w:rPr>
                <w:b/>
                <w:color w:val="2C3461"/>
              </w:rPr>
              <w:br/>
            </w:r>
            <w:r>
              <w:rPr>
                <w:sz w:val="20"/>
              </w:rPr>
              <w:t>"On Slide 7, we present a rigorous critical analysis of our current framework's limitations:</w:t>
            </w:r>
            <w:r>
              <w:rPr>
                <w:sz w:val="20"/>
              </w:rPr>
              <w:br/>
            </w:r>
            <w:r>
              <w:rPr>
                <w:sz w:val="20"/>
              </w:rPr>
              <w:br/>
              <w:t>1. Synthetic Benchmark vs Wild Production Diversity: Although our 1,100 files cover diverse flaw categories, real-world enterprise repositories contain complex Helm charts, legacy Kubernetes v1.12 syntax, and custom third-party CRDs not yet in our training distribution.</w:t>
            </w:r>
            <w:r>
              <w:rPr>
                <w:sz w:val="20"/>
              </w:rPr>
              <w:br/>
            </w:r>
            <w:r>
              <w:rPr>
                <w:sz w:val="20"/>
              </w:rPr>
              <w:br/>
              <w:t>2. Graph Memory Scalability: Our current PyTorch HeteroGNN builds the entire graph in RAM. While lightning-fast for clusters up to 1,000 nodes, hyper-scale corporate environments with 50,000+ pods require mini-batch subgraph sampling algorithms like GraphSAINT.</w:t>
            </w:r>
            <w:r>
              <w:rPr>
                <w:sz w:val="20"/>
              </w:rPr>
              <w:br/>
            </w:r>
            <w:r>
              <w:rPr>
                <w:sz w:val="20"/>
              </w:rPr>
              <w:br/>
              <w:t>3. Latency on LLM Fallback: While our local RF executes in under 2 milliseconds, the escalated ambiguous cases (around 10%) incur a 2 to 4 second cloud API latency, necessitating asynchronous background workers in high-speed CI/CD pipelines.</w:t>
            </w:r>
            <w:r>
              <w:rPr>
                <w:sz w:val="20"/>
              </w:rPr>
              <w:br/>
            </w:r>
            <w:r>
              <w:rPr>
                <w:sz w:val="20"/>
              </w:rPr>
              <w:br/>
              <w:t xml:space="preserve">4. Cross-Cloud Semantic Drift: Our 64-D parser is deeply optimized for Kubernetes and AWS IAM. Azure ARM templates and GCP Terraform policies use differing hierarchy semantics that require </w:t>
            </w:r>
            <w:r>
              <w:rPr>
                <w:sz w:val="20"/>
              </w:rPr>
              <w:lastRenderedPageBreak/>
              <w:t>expanding our AST extractor rules."</w:t>
            </w:r>
          </w:p>
        </w:tc>
      </w:tr>
    </w:tbl>
    <w:p w14:paraId="60CA677C" w14:textId="77777777" w:rsidR="00336371" w:rsidRDefault="00336371">
      <w:pPr>
        <w:spacing w:after="120"/>
        <w:rPr>
          <w:rFonts w:hint="eastAsia"/>
        </w:rPr>
      </w:pPr>
    </w:p>
    <w:tbl>
      <w:tblPr>
        <w:tblW w:w="0" w:type="auto"/>
        <w:jc w:val="center"/>
        <w:tblLayout w:type="fixed"/>
        <w:tblLook w:val="04A0" w:firstRow="1" w:lastRow="0" w:firstColumn="1" w:lastColumn="0" w:noHBand="0" w:noVBand="1"/>
      </w:tblPr>
      <w:tblGrid>
        <w:gridCol w:w="9360"/>
      </w:tblGrid>
      <w:tr w:rsidR="00336371" w14:paraId="661768CF" w14:textId="77777777">
        <w:trPr>
          <w:jc w:val="center"/>
        </w:trPr>
        <w:tc>
          <w:tcPr>
            <w:tcW w:w="9360" w:type="dxa"/>
            <w:tcBorders>
              <w:left w:val="single" w:sz="36" w:space="0" w:color="5C6898"/>
            </w:tcBorders>
            <w:shd w:val="clear" w:color="auto" w:fill="ECE9E0"/>
            <w:tcMar>
              <w:top w:w="160" w:type="dxa"/>
              <w:left w:w="220" w:type="dxa"/>
              <w:bottom w:w="160" w:type="dxa"/>
              <w:right w:w="220" w:type="dxa"/>
            </w:tcMar>
          </w:tcPr>
          <w:p w14:paraId="4FF0DB3C" w14:textId="77777777" w:rsidR="00336371" w:rsidRDefault="00000000">
            <w:pPr>
              <w:spacing w:after="80"/>
              <w:rPr>
                <w:rFonts w:hint="eastAsia"/>
              </w:rPr>
            </w:pPr>
            <w:r>
              <w:rPr>
                <w:b/>
                <w:color w:val="2C3461"/>
              </w:rPr>
              <w:t>📌 TECHNICAL BACKGROUND &amp; EXAMINER CONTEXT</w:t>
            </w:r>
            <w:r>
              <w:rPr>
                <w:b/>
                <w:color w:val="2C3461"/>
              </w:rPr>
              <w:br/>
            </w:r>
            <w:r>
              <w:rPr>
                <w:sz w:val="20"/>
              </w:rPr>
              <w:t>Examiner Value: Showing realistic limitations demonstrates academic maturity and scientific honesty.</w:t>
            </w:r>
          </w:p>
        </w:tc>
      </w:tr>
    </w:tbl>
    <w:p w14:paraId="2B1CA923" w14:textId="77777777" w:rsidR="00336371" w:rsidRDefault="00336371">
      <w:pPr>
        <w:spacing w:after="120"/>
        <w:rPr>
          <w:rFonts w:hint="eastAsia"/>
        </w:rPr>
      </w:pPr>
    </w:p>
    <w:p w14:paraId="059178B0" w14:textId="77777777" w:rsidR="00336371" w:rsidRDefault="00336371">
      <w:pPr>
        <w:spacing w:after="160"/>
        <w:rPr>
          <w:rFonts w:hint="eastAsia"/>
        </w:rPr>
      </w:pPr>
    </w:p>
    <w:p w14:paraId="38CFAAAA" w14:textId="77777777" w:rsidR="00336371" w:rsidRDefault="00000000">
      <w:pPr>
        <w:pStyle w:val="Heading2"/>
      </w:pPr>
      <w:r>
        <w:t>Slide 8: Section VI — Action Roadmap: Scope of Improvements within 2 Weeks (14-Day Sprint)</w:t>
      </w:r>
    </w:p>
    <w:p w14:paraId="11D3147A" w14:textId="77777777" w:rsidR="00336371" w:rsidRDefault="00000000">
      <w:pPr>
        <w:spacing w:before="40" w:after="80"/>
        <w:rPr>
          <w:rFonts w:hint="eastAsia"/>
        </w:rPr>
      </w:pPr>
      <w:r>
        <w:rPr>
          <w:b/>
          <w:color w:val="5C6898"/>
        </w:rPr>
        <w:t xml:space="preserve">🖥️ Slide Visuals &amp; Elements: </w:t>
      </w:r>
      <w:r>
        <w:rPr>
          <w:sz w:val="20"/>
        </w:rPr>
        <w:t>Two large sprint cards: WEEK 1 (Days 1–7: Dataset Expansion &amp; NLP Upgrade) and WEEK 2 (Days 8–14: GitHub Bot &amp; Runtime Verification), detailing daily milestone deliverables.</w:t>
      </w:r>
    </w:p>
    <w:tbl>
      <w:tblPr>
        <w:tblW w:w="0" w:type="auto"/>
        <w:jc w:val="center"/>
        <w:tblLayout w:type="fixed"/>
        <w:tblLook w:val="04A0" w:firstRow="1" w:lastRow="0" w:firstColumn="1" w:lastColumn="0" w:noHBand="0" w:noVBand="1"/>
      </w:tblPr>
      <w:tblGrid>
        <w:gridCol w:w="9360"/>
      </w:tblGrid>
      <w:tr w:rsidR="00336371" w14:paraId="4F8942A4" w14:textId="77777777">
        <w:trPr>
          <w:jc w:val="center"/>
        </w:trPr>
        <w:tc>
          <w:tcPr>
            <w:tcW w:w="9360" w:type="dxa"/>
            <w:tcBorders>
              <w:left w:val="single" w:sz="36" w:space="0" w:color="2C3461"/>
            </w:tcBorders>
            <w:shd w:val="clear" w:color="auto" w:fill="EEEBE0"/>
            <w:tcMar>
              <w:top w:w="160" w:type="dxa"/>
              <w:left w:w="220" w:type="dxa"/>
              <w:bottom w:w="160" w:type="dxa"/>
              <w:right w:w="220" w:type="dxa"/>
            </w:tcMar>
          </w:tcPr>
          <w:p w14:paraId="69C54231" w14:textId="77777777" w:rsidR="00336371" w:rsidRDefault="00000000">
            <w:pPr>
              <w:spacing w:after="80"/>
              <w:rPr>
                <w:rFonts w:hint="eastAsia"/>
              </w:rPr>
            </w:pPr>
            <w:r>
              <w:rPr>
                <w:b/>
                <w:color w:val="2C3461"/>
              </w:rPr>
              <w:t>📌 SPOKEN PRESENTATION SCRIPT (Slide 8)</w:t>
            </w:r>
            <w:r>
              <w:rPr>
                <w:b/>
                <w:color w:val="2C3461"/>
              </w:rPr>
              <w:br/>
            </w:r>
            <w:r>
              <w:rPr>
                <w:sz w:val="20"/>
              </w:rPr>
              <w:t>"Slide 8 outlines our concrete 14-day development sprint, showing exactly how we will address these limitations without scope creep:</w:t>
            </w:r>
            <w:r>
              <w:rPr>
                <w:sz w:val="20"/>
              </w:rPr>
              <w:br/>
            </w:r>
            <w:r>
              <w:rPr>
                <w:sz w:val="20"/>
              </w:rPr>
              <w:br/>
              <w:t>In WEEK 1 (Days 1 to 7), our focus is on Dataset Expansion and NLP Refinement:</w:t>
            </w:r>
            <w:r>
              <w:rPr>
                <w:sz w:val="20"/>
              </w:rPr>
              <w:br/>
              <w:t>• Days 1 to 3: We will scrape 500+ real production Kubernetes manifests from GitHub repositories like Bitnami, ArgoCD, and Prometheus.</w:t>
            </w:r>
            <w:r>
              <w:rPr>
                <w:sz w:val="20"/>
              </w:rPr>
              <w:br/>
              <w:t>• Days 4 to 5: We will upgrade our NLP intent classifier from TF-IDF to a fine-tuned DeBERTa transformer, boosting intent accuracy beyond 90%.</w:t>
            </w:r>
            <w:r>
              <w:rPr>
                <w:sz w:val="20"/>
              </w:rPr>
              <w:br/>
              <w:t>• Days 6 to 7: We will expand AST feature extraction to include Azure ARM and GCP Terraform syntax.</w:t>
            </w:r>
            <w:r>
              <w:rPr>
                <w:sz w:val="20"/>
              </w:rPr>
              <w:br/>
            </w:r>
            <w:r>
              <w:rPr>
                <w:sz w:val="20"/>
              </w:rPr>
              <w:br/>
              <w:t>In WEEK 2 (Days 8 to 14), our focus shifts to CI/CD Integration and Dynamic Validation:</w:t>
            </w:r>
            <w:r>
              <w:rPr>
                <w:sz w:val="20"/>
              </w:rPr>
              <w:br/>
              <w:t>• Days 8 to 10: We will package our pipeline into a reusable GitHub Action that audits Pull Requests and automatically comments with SHAP diffs.</w:t>
            </w:r>
            <w:r>
              <w:rPr>
                <w:sz w:val="20"/>
              </w:rPr>
              <w:br/>
              <w:t>• Days 11 to 12: We will implement GraphSAINT mini-batching in PyTorch Geometric to scale beyond 100,000 nodes.</w:t>
            </w:r>
            <w:r>
              <w:rPr>
                <w:sz w:val="20"/>
              </w:rPr>
              <w:br/>
              <w:t>• Days 13 to 14: We will cross-validate static findings against runtime eBPF syscall alerts from Falco inside live Minikube test environments."</w:t>
            </w:r>
          </w:p>
        </w:tc>
      </w:tr>
    </w:tbl>
    <w:p w14:paraId="5FCE7C8C" w14:textId="77777777" w:rsidR="00336371" w:rsidRDefault="00336371">
      <w:pPr>
        <w:spacing w:after="120"/>
        <w:rPr>
          <w:rFonts w:hint="eastAsia"/>
        </w:rPr>
      </w:pPr>
    </w:p>
    <w:tbl>
      <w:tblPr>
        <w:tblW w:w="0" w:type="auto"/>
        <w:jc w:val="center"/>
        <w:tblLayout w:type="fixed"/>
        <w:tblLook w:val="04A0" w:firstRow="1" w:lastRow="0" w:firstColumn="1" w:lastColumn="0" w:noHBand="0" w:noVBand="1"/>
      </w:tblPr>
      <w:tblGrid>
        <w:gridCol w:w="9360"/>
      </w:tblGrid>
      <w:tr w:rsidR="00336371" w14:paraId="2AA3640E" w14:textId="77777777">
        <w:trPr>
          <w:jc w:val="center"/>
        </w:trPr>
        <w:tc>
          <w:tcPr>
            <w:tcW w:w="9360" w:type="dxa"/>
            <w:tcBorders>
              <w:left w:val="single" w:sz="36" w:space="0" w:color="5C6898"/>
            </w:tcBorders>
            <w:shd w:val="clear" w:color="auto" w:fill="ECE9E0"/>
            <w:tcMar>
              <w:top w:w="160" w:type="dxa"/>
              <w:left w:w="220" w:type="dxa"/>
              <w:bottom w:w="160" w:type="dxa"/>
              <w:right w:w="220" w:type="dxa"/>
            </w:tcMar>
          </w:tcPr>
          <w:p w14:paraId="0F8CE114" w14:textId="77777777" w:rsidR="00336371" w:rsidRDefault="00000000">
            <w:pPr>
              <w:spacing w:after="80"/>
              <w:rPr>
                <w:rFonts w:hint="eastAsia"/>
              </w:rPr>
            </w:pPr>
            <w:r>
              <w:rPr>
                <w:b/>
                <w:color w:val="2C3461"/>
              </w:rPr>
              <w:t>📌 TECHNICAL BACKGROUND &amp; EXAMINER CONTEXT</w:t>
            </w:r>
            <w:r>
              <w:rPr>
                <w:b/>
                <w:color w:val="2C3461"/>
              </w:rPr>
              <w:br/>
            </w:r>
            <w:r>
              <w:rPr>
                <w:sz w:val="20"/>
              </w:rPr>
              <w:t>Key Clarification: This is a focused debugging and refinement sprint on existing modules (Dataset + LLM reasoning + SHAP compiler validation).</w:t>
            </w:r>
          </w:p>
        </w:tc>
      </w:tr>
    </w:tbl>
    <w:p w14:paraId="594231DE" w14:textId="77777777" w:rsidR="00336371" w:rsidRDefault="00336371">
      <w:pPr>
        <w:spacing w:after="120"/>
        <w:rPr>
          <w:rFonts w:hint="eastAsia"/>
        </w:rPr>
      </w:pPr>
    </w:p>
    <w:p w14:paraId="5B80081C" w14:textId="77777777" w:rsidR="00336371" w:rsidRDefault="00336371">
      <w:pPr>
        <w:spacing w:after="160"/>
        <w:rPr>
          <w:rFonts w:hint="eastAsia"/>
        </w:rPr>
      </w:pPr>
    </w:p>
    <w:p w14:paraId="59C3FAAE" w14:textId="77777777" w:rsidR="00336371" w:rsidRDefault="00000000">
      <w:pPr>
        <w:pStyle w:val="Heading2"/>
      </w:pPr>
      <w:r>
        <w:lastRenderedPageBreak/>
        <w:t>Slide 9: Section VII — Reproducibility: Source Code, Executable Notebook &amp; Deployment Links</w:t>
      </w:r>
    </w:p>
    <w:p w14:paraId="4E74BD40" w14:textId="77777777" w:rsidR="00336371" w:rsidRDefault="00000000">
      <w:pPr>
        <w:spacing w:before="40" w:after="80"/>
        <w:rPr>
          <w:rFonts w:hint="eastAsia"/>
        </w:rPr>
      </w:pPr>
      <w:r>
        <w:rPr>
          <w:b/>
          <w:color w:val="5C6898"/>
        </w:rPr>
        <w:t xml:space="preserve">🖥️ Slide Visuals &amp; Elements: </w:t>
      </w:r>
      <w:r>
        <w:rPr>
          <w:sz w:val="20"/>
        </w:rPr>
        <w:t>Left: Two resource cards with clickable URLs for GitHub Repository and Google Colab Notebook. Right: Complete 4-step CLI terminal reproduction snippet.</w:t>
      </w:r>
    </w:p>
    <w:tbl>
      <w:tblPr>
        <w:tblW w:w="0" w:type="auto"/>
        <w:jc w:val="center"/>
        <w:tblLayout w:type="fixed"/>
        <w:tblLook w:val="04A0" w:firstRow="1" w:lastRow="0" w:firstColumn="1" w:lastColumn="0" w:noHBand="0" w:noVBand="1"/>
      </w:tblPr>
      <w:tblGrid>
        <w:gridCol w:w="9360"/>
      </w:tblGrid>
      <w:tr w:rsidR="00336371" w14:paraId="15A439B5" w14:textId="77777777">
        <w:trPr>
          <w:jc w:val="center"/>
        </w:trPr>
        <w:tc>
          <w:tcPr>
            <w:tcW w:w="9360" w:type="dxa"/>
            <w:tcBorders>
              <w:left w:val="single" w:sz="36" w:space="0" w:color="2C3461"/>
            </w:tcBorders>
            <w:shd w:val="clear" w:color="auto" w:fill="EEEBE0"/>
            <w:tcMar>
              <w:top w:w="160" w:type="dxa"/>
              <w:left w:w="220" w:type="dxa"/>
              <w:bottom w:w="160" w:type="dxa"/>
              <w:right w:w="220" w:type="dxa"/>
            </w:tcMar>
          </w:tcPr>
          <w:p w14:paraId="6F8D2A7F" w14:textId="77777777" w:rsidR="00336371" w:rsidRDefault="00000000">
            <w:pPr>
              <w:spacing w:after="80"/>
              <w:rPr>
                <w:rFonts w:hint="eastAsia"/>
              </w:rPr>
            </w:pPr>
            <w:r>
              <w:rPr>
                <w:b/>
                <w:color w:val="2C3461"/>
              </w:rPr>
              <w:t>📌 SPOKEN PRESENTATION SCRIPT (Slide 9)</w:t>
            </w:r>
            <w:r>
              <w:rPr>
                <w:b/>
                <w:color w:val="2C3461"/>
              </w:rPr>
              <w:br/>
            </w:r>
            <w:r>
              <w:rPr>
                <w:sz w:val="20"/>
              </w:rPr>
              <w:t>"Finally, on Slide 9, we emphasize full scientific reproducibility:</w:t>
            </w:r>
            <w:r>
              <w:rPr>
                <w:sz w:val="20"/>
              </w:rPr>
              <w:br/>
            </w:r>
            <w:r>
              <w:rPr>
                <w:sz w:val="20"/>
              </w:rPr>
              <w:br/>
              <w:t>All source code, trained model weights, benchmark datasets, and interactive experiments are open-source and available on GitHub at github.com/robiul-tamim/cloud-misconfig-ml. We have also prepared an interactive Google Colab notebook where anyone can run the GNN and inspect SHAP explanations in their browser.</w:t>
            </w:r>
            <w:r>
              <w:rPr>
                <w:sz w:val="20"/>
              </w:rPr>
              <w:br/>
            </w:r>
            <w:r>
              <w:rPr>
                <w:sz w:val="20"/>
              </w:rPr>
              <w:br/>
              <w:t>As shown in the right terminal box, any teacher or evaluator can clone the repository, install dependencies, and audit any manifest with a single CLI command: 'python scripts/run_pipeline.py'.</w:t>
            </w:r>
            <w:r>
              <w:rPr>
                <w:sz w:val="20"/>
              </w:rPr>
              <w:br/>
            </w:r>
            <w:r>
              <w:rPr>
                <w:sz w:val="20"/>
              </w:rPr>
              <w:br/>
              <w:t>To conclude: By uniting Graph Neural Networks with 64-D AST parsing, smart ML-LLM triage, and compiler-validated patches, we deliver a framework that catches lateral multi-file attack chains, saves over 90% in API costs, and eliminates broken YAML fixes.</w:t>
            </w:r>
            <w:r>
              <w:rPr>
                <w:sz w:val="20"/>
              </w:rPr>
              <w:br/>
            </w:r>
            <w:r>
              <w:rPr>
                <w:sz w:val="20"/>
              </w:rPr>
              <w:br/>
              <w:t>Thank you for your time and attention. We now welcome your questions and feedback."</w:t>
            </w:r>
          </w:p>
        </w:tc>
      </w:tr>
    </w:tbl>
    <w:p w14:paraId="58469A10" w14:textId="77777777" w:rsidR="00336371" w:rsidRDefault="00336371">
      <w:pPr>
        <w:spacing w:after="120"/>
        <w:rPr>
          <w:rFonts w:hint="eastAsia"/>
        </w:rPr>
      </w:pPr>
    </w:p>
    <w:tbl>
      <w:tblPr>
        <w:tblW w:w="0" w:type="auto"/>
        <w:jc w:val="center"/>
        <w:tblLayout w:type="fixed"/>
        <w:tblLook w:val="04A0" w:firstRow="1" w:lastRow="0" w:firstColumn="1" w:lastColumn="0" w:noHBand="0" w:noVBand="1"/>
      </w:tblPr>
      <w:tblGrid>
        <w:gridCol w:w="9360"/>
      </w:tblGrid>
      <w:tr w:rsidR="00336371" w14:paraId="0844842E" w14:textId="77777777">
        <w:trPr>
          <w:jc w:val="center"/>
        </w:trPr>
        <w:tc>
          <w:tcPr>
            <w:tcW w:w="9360" w:type="dxa"/>
            <w:tcBorders>
              <w:left w:val="single" w:sz="36" w:space="0" w:color="5C6898"/>
            </w:tcBorders>
            <w:shd w:val="clear" w:color="auto" w:fill="ECE9E0"/>
            <w:tcMar>
              <w:top w:w="160" w:type="dxa"/>
              <w:left w:w="220" w:type="dxa"/>
              <w:bottom w:w="160" w:type="dxa"/>
              <w:right w:w="220" w:type="dxa"/>
            </w:tcMar>
          </w:tcPr>
          <w:p w14:paraId="27913254" w14:textId="77777777" w:rsidR="00336371" w:rsidRDefault="00000000">
            <w:pPr>
              <w:spacing w:after="80"/>
              <w:rPr>
                <w:rFonts w:hint="eastAsia"/>
              </w:rPr>
            </w:pPr>
            <w:r>
              <w:rPr>
                <w:b/>
                <w:color w:val="2C3461"/>
              </w:rPr>
              <w:t>📌 TECHNICAL BACKGROUND &amp; EXAMINER CONTEXT</w:t>
            </w:r>
            <w:r>
              <w:rPr>
                <w:b/>
                <w:color w:val="2C3461"/>
              </w:rPr>
              <w:br/>
            </w:r>
            <w:r>
              <w:rPr>
                <w:sz w:val="20"/>
              </w:rPr>
              <w:t>Deliverables Summary: GitHub repo ready, README.md formatted, requirements.txt locked, end-to-end CLI orchestrator working.</w:t>
            </w:r>
          </w:p>
        </w:tc>
      </w:tr>
    </w:tbl>
    <w:p w14:paraId="478F8D03" w14:textId="77777777" w:rsidR="00336371" w:rsidRDefault="00336371">
      <w:pPr>
        <w:spacing w:after="120"/>
        <w:rPr>
          <w:rFonts w:hint="eastAsia"/>
        </w:rPr>
      </w:pPr>
    </w:p>
    <w:p w14:paraId="69217DAF" w14:textId="77777777" w:rsidR="00336371" w:rsidRDefault="00336371">
      <w:pPr>
        <w:spacing w:after="160"/>
        <w:rPr>
          <w:rFonts w:hint="eastAsia"/>
        </w:rPr>
      </w:pPr>
    </w:p>
    <w:p w14:paraId="44DF9B5C" w14:textId="77777777" w:rsidR="00336371" w:rsidRDefault="00000000">
      <w:pPr>
        <w:pStyle w:val="Heading1"/>
      </w:pPr>
      <w:r>
        <w:t>3. Examiner Viva Q&amp;A Defense Guide (Top 8 Tough Questions)</w:t>
      </w:r>
    </w:p>
    <w:tbl>
      <w:tblPr>
        <w:tblW w:w="0" w:type="auto"/>
        <w:jc w:val="center"/>
        <w:tblLayout w:type="fixed"/>
        <w:tblLook w:val="04A0" w:firstRow="1" w:lastRow="0" w:firstColumn="1" w:lastColumn="0" w:noHBand="0" w:noVBand="1"/>
      </w:tblPr>
      <w:tblGrid>
        <w:gridCol w:w="9360"/>
      </w:tblGrid>
      <w:tr w:rsidR="00336371" w14:paraId="34D652F2" w14:textId="77777777">
        <w:trPr>
          <w:jc w:val="center"/>
        </w:trPr>
        <w:tc>
          <w:tcPr>
            <w:tcW w:w="9360" w:type="dxa"/>
            <w:tcBorders>
              <w:left w:val="single" w:sz="36" w:space="0" w:color="2E7D52"/>
            </w:tcBorders>
            <w:shd w:val="clear" w:color="auto" w:fill="EAF5EE"/>
            <w:tcMar>
              <w:top w:w="160" w:type="dxa"/>
              <w:left w:w="220" w:type="dxa"/>
              <w:bottom w:w="160" w:type="dxa"/>
              <w:right w:w="220" w:type="dxa"/>
            </w:tcMar>
          </w:tcPr>
          <w:p w14:paraId="5157EAC4" w14:textId="77777777" w:rsidR="00336371" w:rsidRDefault="00000000">
            <w:pPr>
              <w:spacing w:after="80"/>
              <w:rPr>
                <w:rFonts w:hint="eastAsia"/>
              </w:rPr>
            </w:pPr>
            <w:r>
              <w:rPr>
                <w:b/>
                <w:color w:val="2C3461"/>
              </w:rPr>
              <w:t>📌 VIVA DEFENSE Q&amp;A</w:t>
            </w:r>
            <w:r>
              <w:rPr>
                <w:b/>
                <w:color w:val="2C3461"/>
              </w:rPr>
              <w:br/>
            </w:r>
            <w:r>
              <w:rPr>
                <w:sz w:val="20"/>
              </w:rPr>
              <w:t>Q1: How did your model achieve 100% accuracy? Isn't that overfitting or data leakage?</w:t>
            </w:r>
            <w:r>
              <w:rPr>
                <w:sz w:val="20"/>
              </w:rPr>
              <w:br/>
            </w:r>
            <w:r>
              <w:rPr>
                <w:sz w:val="20"/>
              </w:rPr>
              <w:br/>
              <w:t>Strong Academic Answer:</w:t>
            </w:r>
            <w:r>
              <w:rPr>
                <w:sz w:val="20"/>
              </w:rPr>
              <w:br/>
              <w:t>"That is an important question. The 100% test accuracy was achieved on our 1,100-sample synthetic benchmark. In this benchmark, security flaws (like privileged containers, wildcard IAM permissions, and unencrypted S3 buckets) were programmatically injected with distinct feature signatures. The Random Forest easily established clean decision boundaries across our 64 AST features.</w:t>
            </w:r>
            <w:r>
              <w:rPr>
                <w:sz w:val="20"/>
              </w:rPr>
              <w:br/>
            </w:r>
            <w:r>
              <w:rPr>
                <w:sz w:val="20"/>
              </w:rPr>
              <w:br/>
              <w:t xml:space="preserve">We explicitly do NOT claim that our model will achieve 100% on wild, uncurated production codebases. In real environments, unseen CRDs and noisy configs will introduce edge cases. That is why Slide 7 transparently identifies this as Limitation #1, and Week 1 of our 14-day sprint directly </w:t>
            </w:r>
            <w:r>
              <w:rPr>
                <w:sz w:val="20"/>
              </w:rPr>
              <w:lastRenderedPageBreak/>
              <w:t>focuses on scraping 500+ real-world production repositories to measure real-world domain adaptation."</w:t>
            </w:r>
          </w:p>
        </w:tc>
      </w:tr>
    </w:tbl>
    <w:p w14:paraId="1D38DD6A" w14:textId="77777777" w:rsidR="00336371" w:rsidRDefault="00336371">
      <w:pPr>
        <w:spacing w:after="120"/>
        <w:rPr>
          <w:rFonts w:hint="eastAsia"/>
        </w:rPr>
      </w:pPr>
    </w:p>
    <w:tbl>
      <w:tblPr>
        <w:tblW w:w="0" w:type="auto"/>
        <w:jc w:val="center"/>
        <w:tblLayout w:type="fixed"/>
        <w:tblLook w:val="04A0" w:firstRow="1" w:lastRow="0" w:firstColumn="1" w:lastColumn="0" w:noHBand="0" w:noVBand="1"/>
      </w:tblPr>
      <w:tblGrid>
        <w:gridCol w:w="9360"/>
      </w:tblGrid>
      <w:tr w:rsidR="00336371" w14:paraId="06A5EB80" w14:textId="77777777">
        <w:trPr>
          <w:jc w:val="center"/>
        </w:trPr>
        <w:tc>
          <w:tcPr>
            <w:tcW w:w="9360" w:type="dxa"/>
            <w:tcBorders>
              <w:left w:val="single" w:sz="36" w:space="0" w:color="2E7D52"/>
            </w:tcBorders>
            <w:shd w:val="clear" w:color="auto" w:fill="EAF5EE"/>
            <w:tcMar>
              <w:top w:w="160" w:type="dxa"/>
              <w:left w:w="220" w:type="dxa"/>
              <w:bottom w:w="160" w:type="dxa"/>
              <w:right w:w="220" w:type="dxa"/>
            </w:tcMar>
          </w:tcPr>
          <w:p w14:paraId="2992FAA2" w14:textId="77777777" w:rsidR="00336371" w:rsidRDefault="00000000">
            <w:pPr>
              <w:spacing w:after="80"/>
              <w:rPr>
                <w:rFonts w:hint="eastAsia"/>
              </w:rPr>
            </w:pPr>
            <w:r>
              <w:rPr>
                <w:b/>
                <w:color w:val="2C3461"/>
              </w:rPr>
              <w:t>📌 VIVA DEFENSE Q&amp;A</w:t>
            </w:r>
            <w:r>
              <w:rPr>
                <w:b/>
                <w:color w:val="2C3461"/>
              </w:rPr>
              <w:br/>
            </w:r>
            <w:r>
              <w:rPr>
                <w:sz w:val="20"/>
              </w:rPr>
              <w:t>Q2: Why use a Graph Neural Network (GNN) instead of running a standard static scanner like Checkov?</w:t>
            </w:r>
            <w:r>
              <w:rPr>
                <w:sz w:val="20"/>
              </w:rPr>
              <w:br/>
            </w:r>
            <w:r>
              <w:rPr>
                <w:sz w:val="20"/>
              </w:rPr>
              <w:br/>
              <w:t>Strong Academic Answer:</w:t>
            </w:r>
            <w:r>
              <w:rPr>
                <w:sz w:val="20"/>
              </w:rPr>
              <w:br/>
              <w:t>"Static scanners like Checkov or KubeLinter inspect one file at a time in total isolation. They cannot detect lateral attack chains. For example, if a Pod definition in file A mounts a ServiceAccount whose ClusterRole is defined in file B, and that role has access to an S3 bucket in file C, a single-file scanner sees three individually benign or low-severity configs.</w:t>
            </w:r>
            <w:r>
              <w:rPr>
                <w:sz w:val="20"/>
              </w:rPr>
              <w:br/>
            </w:r>
            <w:r>
              <w:rPr>
                <w:sz w:val="20"/>
              </w:rPr>
              <w:br/>
              <w:t>Our Heterogeneous GNN links these resources as nodes in a graph. Through graph message passing, node embeddings aggregate 2-hop neighbor information, enabling the model to detect that File A's pod can escalate privileges through File B to compromise File C. This cross-file detection is mathematically impossible with single-file regex rules."</w:t>
            </w:r>
          </w:p>
        </w:tc>
      </w:tr>
    </w:tbl>
    <w:p w14:paraId="26484E64" w14:textId="77777777" w:rsidR="00336371" w:rsidRDefault="00336371">
      <w:pPr>
        <w:spacing w:after="120"/>
        <w:rPr>
          <w:rFonts w:hint="eastAsia"/>
        </w:rPr>
      </w:pPr>
    </w:p>
    <w:tbl>
      <w:tblPr>
        <w:tblW w:w="0" w:type="auto"/>
        <w:jc w:val="center"/>
        <w:tblLayout w:type="fixed"/>
        <w:tblLook w:val="04A0" w:firstRow="1" w:lastRow="0" w:firstColumn="1" w:lastColumn="0" w:noHBand="0" w:noVBand="1"/>
      </w:tblPr>
      <w:tblGrid>
        <w:gridCol w:w="9360"/>
      </w:tblGrid>
      <w:tr w:rsidR="00336371" w14:paraId="344A2D98" w14:textId="77777777">
        <w:trPr>
          <w:jc w:val="center"/>
        </w:trPr>
        <w:tc>
          <w:tcPr>
            <w:tcW w:w="9360" w:type="dxa"/>
            <w:tcBorders>
              <w:left w:val="single" w:sz="36" w:space="0" w:color="2E7D52"/>
            </w:tcBorders>
            <w:shd w:val="clear" w:color="auto" w:fill="EAF5EE"/>
            <w:tcMar>
              <w:top w:w="160" w:type="dxa"/>
              <w:left w:w="220" w:type="dxa"/>
              <w:bottom w:w="160" w:type="dxa"/>
              <w:right w:w="220" w:type="dxa"/>
            </w:tcMar>
          </w:tcPr>
          <w:p w14:paraId="3EF41158" w14:textId="77777777" w:rsidR="00336371" w:rsidRDefault="00000000">
            <w:pPr>
              <w:spacing w:after="80"/>
              <w:rPr>
                <w:rFonts w:hint="eastAsia"/>
              </w:rPr>
            </w:pPr>
            <w:r>
              <w:rPr>
                <w:b/>
                <w:color w:val="2C3461"/>
              </w:rPr>
              <w:t>📌 VIVA DEFENSE Q&amp;A</w:t>
            </w:r>
            <w:r>
              <w:rPr>
                <w:b/>
                <w:color w:val="2C3461"/>
              </w:rPr>
              <w:br/>
            </w:r>
            <w:r>
              <w:rPr>
                <w:sz w:val="20"/>
              </w:rPr>
              <w:t>Q3: How does the Tiered Triage (Stage 3) achieve over 90% API cost reduction?</w:t>
            </w:r>
            <w:r>
              <w:rPr>
                <w:sz w:val="20"/>
              </w:rPr>
              <w:br/>
            </w:r>
            <w:r>
              <w:rPr>
                <w:sz w:val="20"/>
              </w:rPr>
              <w:br/>
              <w:t>Strong Academic Answer:</w:t>
            </w:r>
            <w:r>
              <w:rPr>
                <w:sz w:val="20"/>
              </w:rPr>
              <w:br/>
              <w:t>"Querying LLM APIs like GPT-4o or Gemini for every single configuration file in a large repository costs roughly $0.02 to $0.05 per file and adds 2 to 4 seconds of network latency. In a repository with 5,000 files, auditing would cost $150+ and take several hours.</w:t>
            </w:r>
            <w:r>
              <w:rPr>
                <w:sz w:val="20"/>
              </w:rPr>
              <w:br/>
            </w:r>
            <w:r>
              <w:rPr>
                <w:sz w:val="20"/>
              </w:rPr>
              <w:br/>
              <w:t>Our framework introduces a two-tier filter: The Calibrated Random Forest executes locally in &lt;2 ms at $0 cost. Over 90% of files have high prediction confidence (&gt;= 0.90) and are classified instantly. Only the remaining ambiguous or edge-case files (&lt;10%) are escalated to LLM Chain-of-Thought reasoning. This achieves a 90%+ cost and latency reduction while preserving deep reasoning for hard cases."</w:t>
            </w:r>
          </w:p>
        </w:tc>
      </w:tr>
    </w:tbl>
    <w:p w14:paraId="1CC3E4C8" w14:textId="77777777" w:rsidR="00336371" w:rsidRDefault="00336371">
      <w:pPr>
        <w:spacing w:after="120"/>
        <w:rPr>
          <w:rFonts w:hint="eastAsia"/>
        </w:rPr>
      </w:pPr>
    </w:p>
    <w:tbl>
      <w:tblPr>
        <w:tblW w:w="0" w:type="auto"/>
        <w:jc w:val="center"/>
        <w:tblLayout w:type="fixed"/>
        <w:tblLook w:val="04A0" w:firstRow="1" w:lastRow="0" w:firstColumn="1" w:lastColumn="0" w:noHBand="0" w:noVBand="1"/>
      </w:tblPr>
      <w:tblGrid>
        <w:gridCol w:w="9360"/>
      </w:tblGrid>
      <w:tr w:rsidR="00336371" w14:paraId="21647CB4" w14:textId="77777777">
        <w:trPr>
          <w:jc w:val="center"/>
        </w:trPr>
        <w:tc>
          <w:tcPr>
            <w:tcW w:w="9360" w:type="dxa"/>
            <w:tcBorders>
              <w:left w:val="single" w:sz="36" w:space="0" w:color="2E7D52"/>
            </w:tcBorders>
            <w:shd w:val="clear" w:color="auto" w:fill="EAF5EE"/>
            <w:tcMar>
              <w:top w:w="160" w:type="dxa"/>
              <w:left w:w="220" w:type="dxa"/>
              <w:bottom w:w="160" w:type="dxa"/>
              <w:right w:w="220" w:type="dxa"/>
            </w:tcMar>
          </w:tcPr>
          <w:p w14:paraId="222C87DA" w14:textId="77777777" w:rsidR="00336371" w:rsidRDefault="00000000">
            <w:pPr>
              <w:spacing w:after="80"/>
              <w:rPr>
                <w:rFonts w:hint="eastAsia"/>
              </w:rPr>
            </w:pPr>
            <w:r>
              <w:rPr>
                <w:b/>
                <w:color w:val="2C3461"/>
              </w:rPr>
              <w:t>📌 VIVA DEFENSE Q&amp;A</w:t>
            </w:r>
            <w:r>
              <w:rPr>
                <w:b/>
                <w:color w:val="2C3461"/>
              </w:rPr>
              <w:br/>
            </w:r>
            <w:r>
              <w:rPr>
                <w:sz w:val="20"/>
              </w:rPr>
              <w:t>Q4: What is the role of the NLP Intent Classifier?</w:t>
            </w:r>
            <w:r>
              <w:rPr>
                <w:sz w:val="20"/>
              </w:rPr>
              <w:br/>
            </w:r>
            <w:r>
              <w:rPr>
                <w:sz w:val="20"/>
              </w:rPr>
              <w:br/>
              <w:t>Strong Academic Answer:</w:t>
            </w:r>
            <w:r>
              <w:rPr>
                <w:sz w:val="20"/>
              </w:rPr>
              <w:br/>
              <w:t>"Static scanners cause massive 'alert fatigue' because they flag every public S3 bucket or open ingress port as a critical vulnerability. However, some assets are legitimately public—for example, a static frontend documentation website or a public assets CDN.</w:t>
            </w:r>
            <w:r>
              <w:rPr>
                <w:sz w:val="20"/>
              </w:rPr>
              <w:br/>
            </w:r>
            <w:r>
              <w:rPr>
                <w:sz w:val="20"/>
              </w:rPr>
              <w:br/>
              <w:t xml:space="preserve">Our NLP intent module extracts inline YAML comments, documentation tags, and naming </w:t>
            </w:r>
            <w:r>
              <w:rPr>
                <w:sz w:val="20"/>
              </w:rPr>
              <w:lastRenderedPageBreak/>
              <w:t>conventions (e.g., '# public static CDN bucket for images') and uses a text classifier to determine the developer's business intent. If the intent is explicitly confirmed as public, the false alarm is safely suppressed."</w:t>
            </w:r>
          </w:p>
        </w:tc>
      </w:tr>
    </w:tbl>
    <w:p w14:paraId="2710DC4F" w14:textId="77777777" w:rsidR="00336371" w:rsidRDefault="00336371">
      <w:pPr>
        <w:spacing w:after="120"/>
        <w:rPr>
          <w:rFonts w:hint="eastAsia"/>
        </w:rPr>
      </w:pPr>
    </w:p>
    <w:tbl>
      <w:tblPr>
        <w:tblW w:w="0" w:type="auto"/>
        <w:jc w:val="center"/>
        <w:tblLayout w:type="fixed"/>
        <w:tblLook w:val="04A0" w:firstRow="1" w:lastRow="0" w:firstColumn="1" w:lastColumn="0" w:noHBand="0" w:noVBand="1"/>
      </w:tblPr>
      <w:tblGrid>
        <w:gridCol w:w="9360"/>
      </w:tblGrid>
      <w:tr w:rsidR="00336371" w14:paraId="5E2D3F76" w14:textId="77777777">
        <w:trPr>
          <w:jc w:val="center"/>
        </w:trPr>
        <w:tc>
          <w:tcPr>
            <w:tcW w:w="9360" w:type="dxa"/>
            <w:tcBorders>
              <w:left w:val="single" w:sz="36" w:space="0" w:color="2E7D52"/>
            </w:tcBorders>
            <w:shd w:val="clear" w:color="auto" w:fill="EAF5EE"/>
            <w:tcMar>
              <w:top w:w="160" w:type="dxa"/>
              <w:left w:w="220" w:type="dxa"/>
              <w:bottom w:w="160" w:type="dxa"/>
              <w:right w:w="220" w:type="dxa"/>
            </w:tcMar>
          </w:tcPr>
          <w:p w14:paraId="4CE09126" w14:textId="77777777" w:rsidR="00336371" w:rsidRDefault="00000000">
            <w:pPr>
              <w:spacing w:after="80"/>
              <w:rPr>
                <w:rFonts w:hint="eastAsia"/>
              </w:rPr>
            </w:pPr>
            <w:r>
              <w:rPr>
                <w:b/>
                <w:color w:val="2C3461"/>
              </w:rPr>
              <w:t>📌 VIVA DEFENSE Q&amp;A</w:t>
            </w:r>
            <w:r>
              <w:rPr>
                <w:b/>
                <w:color w:val="2C3461"/>
              </w:rPr>
              <w:br/>
            </w:r>
            <w:r>
              <w:rPr>
                <w:sz w:val="20"/>
              </w:rPr>
              <w:t>Q5: How do you guarantee that the automated remediation in Stage 4 doesn't break production YAMLs?</w:t>
            </w:r>
            <w:r>
              <w:rPr>
                <w:sz w:val="20"/>
              </w:rPr>
              <w:br/>
            </w:r>
            <w:r>
              <w:rPr>
                <w:sz w:val="20"/>
              </w:rPr>
              <w:br/>
              <w:t>Strong Academic Answer:</w:t>
            </w:r>
            <w:r>
              <w:rPr>
                <w:sz w:val="20"/>
              </w:rPr>
              <w:br/>
              <w:t>"LLM code generation is notorious for hallucinating syntax errors, improper indentation, or invalid Kubernetes API versions. To solve this, Stage 4 implements a closed-loop Compiler Validation Engine.</w:t>
            </w:r>
            <w:r>
              <w:rPr>
                <w:sz w:val="20"/>
              </w:rPr>
              <w:br/>
            </w:r>
            <w:r>
              <w:rPr>
                <w:sz w:val="20"/>
              </w:rPr>
              <w:br/>
              <w:t>When a candidate patch is generated, it is passed to an automated validation sandbox (running PyYAML parser, schema validators, and linters). If the patch fails validation, the error trace is fed back into the patch generator for automated correction. Only patches that pass 100% syntax and schema checks are delivered to the developer."</w:t>
            </w:r>
          </w:p>
        </w:tc>
      </w:tr>
    </w:tbl>
    <w:p w14:paraId="08E877D9" w14:textId="77777777" w:rsidR="00336371" w:rsidRDefault="00336371">
      <w:pPr>
        <w:spacing w:after="120"/>
        <w:rPr>
          <w:rFonts w:hint="eastAsia"/>
        </w:rPr>
      </w:pPr>
    </w:p>
    <w:tbl>
      <w:tblPr>
        <w:tblW w:w="0" w:type="auto"/>
        <w:jc w:val="center"/>
        <w:tblLayout w:type="fixed"/>
        <w:tblLook w:val="04A0" w:firstRow="1" w:lastRow="0" w:firstColumn="1" w:lastColumn="0" w:noHBand="0" w:noVBand="1"/>
      </w:tblPr>
      <w:tblGrid>
        <w:gridCol w:w="9360"/>
      </w:tblGrid>
      <w:tr w:rsidR="00336371" w14:paraId="196FC147" w14:textId="77777777">
        <w:trPr>
          <w:jc w:val="center"/>
        </w:trPr>
        <w:tc>
          <w:tcPr>
            <w:tcW w:w="9360" w:type="dxa"/>
            <w:tcBorders>
              <w:left w:val="single" w:sz="36" w:space="0" w:color="2E7D52"/>
            </w:tcBorders>
            <w:shd w:val="clear" w:color="auto" w:fill="EAF5EE"/>
            <w:tcMar>
              <w:top w:w="160" w:type="dxa"/>
              <w:left w:w="220" w:type="dxa"/>
              <w:bottom w:w="160" w:type="dxa"/>
              <w:right w:w="220" w:type="dxa"/>
            </w:tcMar>
          </w:tcPr>
          <w:p w14:paraId="594A7B79" w14:textId="77777777" w:rsidR="00336371" w:rsidRDefault="00000000">
            <w:pPr>
              <w:spacing w:after="80"/>
              <w:rPr>
                <w:rFonts w:hint="eastAsia"/>
              </w:rPr>
            </w:pPr>
            <w:r>
              <w:rPr>
                <w:b/>
                <w:color w:val="2C3461"/>
              </w:rPr>
              <w:t>📌 VIVA DEFENSE Q&amp;A</w:t>
            </w:r>
            <w:r>
              <w:rPr>
                <w:b/>
                <w:color w:val="2C3461"/>
              </w:rPr>
              <w:br/>
            </w:r>
            <w:r>
              <w:rPr>
                <w:sz w:val="20"/>
              </w:rPr>
              <w:t>Q6: What are the 64 features extracted in Stage 1?</w:t>
            </w:r>
            <w:r>
              <w:rPr>
                <w:sz w:val="20"/>
              </w:rPr>
              <w:br/>
            </w:r>
            <w:r>
              <w:rPr>
                <w:sz w:val="20"/>
              </w:rPr>
              <w:br/>
              <w:t>Strong Academic Answer:</w:t>
            </w:r>
            <w:r>
              <w:rPr>
                <w:sz w:val="20"/>
              </w:rPr>
              <w:br/>
              <w:t>"Our 64 features are categorized into four domain-specific groups:</w:t>
            </w:r>
            <w:r>
              <w:rPr>
                <w:sz w:val="20"/>
              </w:rPr>
              <w:br/>
              <w:t>1. Kubernetes Security Context (13 features): privileged mode, runAsNonRoot, hostNetwork, hostPID, capabilities.add.</w:t>
            </w:r>
            <w:r>
              <w:rPr>
                <w:sz w:val="20"/>
              </w:rPr>
              <w:br/>
              <w:t>2. RBAC Permissions (9 features): wildcard verbs (*), wildcard resources, secrets access, cluster-admin role bindings.</w:t>
            </w:r>
            <w:r>
              <w:rPr>
                <w:sz w:val="20"/>
              </w:rPr>
              <w:br/>
              <w:t>3. IAM &amp; Cloud Storage (18 features): iam:PassRole, wildcard actions, cross-account trust policies, S3 public-read ACL, encryption flags.</w:t>
            </w:r>
            <w:r>
              <w:rPr>
                <w:sz w:val="20"/>
              </w:rPr>
              <w:br/>
              <w:t>4. Structural &amp; Metadata (24 features): AST nesting depth, total key count, comment ratios, label presence, and health probe definitions."</w:t>
            </w:r>
          </w:p>
        </w:tc>
      </w:tr>
    </w:tbl>
    <w:p w14:paraId="6F567EFB" w14:textId="77777777" w:rsidR="00336371" w:rsidRDefault="00336371">
      <w:pPr>
        <w:spacing w:after="120"/>
        <w:rPr>
          <w:rFonts w:hint="eastAsia"/>
        </w:rPr>
      </w:pPr>
    </w:p>
    <w:tbl>
      <w:tblPr>
        <w:tblW w:w="0" w:type="auto"/>
        <w:jc w:val="center"/>
        <w:tblLayout w:type="fixed"/>
        <w:tblLook w:val="04A0" w:firstRow="1" w:lastRow="0" w:firstColumn="1" w:lastColumn="0" w:noHBand="0" w:noVBand="1"/>
      </w:tblPr>
      <w:tblGrid>
        <w:gridCol w:w="9360"/>
      </w:tblGrid>
      <w:tr w:rsidR="00336371" w14:paraId="465CEE7D" w14:textId="77777777">
        <w:trPr>
          <w:jc w:val="center"/>
        </w:trPr>
        <w:tc>
          <w:tcPr>
            <w:tcW w:w="9360" w:type="dxa"/>
            <w:tcBorders>
              <w:left w:val="single" w:sz="36" w:space="0" w:color="2E7D52"/>
            </w:tcBorders>
            <w:shd w:val="clear" w:color="auto" w:fill="EAF5EE"/>
            <w:tcMar>
              <w:top w:w="160" w:type="dxa"/>
              <w:left w:w="220" w:type="dxa"/>
              <w:bottom w:w="160" w:type="dxa"/>
              <w:right w:w="220" w:type="dxa"/>
            </w:tcMar>
          </w:tcPr>
          <w:p w14:paraId="64525A3E" w14:textId="77777777" w:rsidR="00336371" w:rsidRDefault="00000000">
            <w:pPr>
              <w:spacing w:after="80"/>
              <w:rPr>
                <w:rFonts w:hint="eastAsia"/>
              </w:rPr>
            </w:pPr>
            <w:r>
              <w:rPr>
                <w:b/>
                <w:color w:val="2C3461"/>
              </w:rPr>
              <w:t>📌 VIVA DEFENSE Q&amp;A</w:t>
            </w:r>
            <w:r>
              <w:rPr>
                <w:b/>
                <w:color w:val="2C3461"/>
              </w:rPr>
              <w:br/>
            </w:r>
            <w:r>
              <w:rPr>
                <w:sz w:val="20"/>
              </w:rPr>
              <w:t>Q7: Why did you choose Random Forest over Deep Neural Networks for Stage 3A?</w:t>
            </w:r>
            <w:r>
              <w:rPr>
                <w:sz w:val="20"/>
              </w:rPr>
              <w:br/>
            </w:r>
            <w:r>
              <w:rPr>
                <w:sz w:val="20"/>
              </w:rPr>
              <w:br/>
              <w:t>Strong Academic Answer:</w:t>
            </w:r>
            <w:r>
              <w:rPr>
                <w:sz w:val="20"/>
              </w:rPr>
              <w:br/>
              <w:t>"For tabular AST feature vectors, tree-based ensembles like Random Forest and XGBoost consistently outperform deep neural networks in training speed, inference latency, and interpretability. RF executes inference in under 2 milliseconds on standard CPU hardware without GPU overhead, has zero risk of vanishing gradients, and naturally provides Gini feature importances that integrate seamlessly with SHAP."</w:t>
            </w:r>
          </w:p>
        </w:tc>
      </w:tr>
    </w:tbl>
    <w:p w14:paraId="763615D0" w14:textId="77777777" w:rsidR="00336371" w:rsidRDefault="00336371">
      <w:pPr>
        <w:spacing w:after="120"/>
        <w:rPr>
          <w:rFonts w:hint="eastAsia"/>
        </w:rPr>
      </w:pPr>
    </w:p>
    <w:tbl>
      <w:tblPr>
        <w:tblW w:w="0" w:type="auto"/>
        <w:jc w:val="center"/>
        <w:tblLayout w:type="fixed"/>
        <w:tblLook w:val="04A0" w:firstRow="1" w:lastRow="0" w:firstColumn="1" w:lastColumn="0" w:noHBand="0" w:noVBand="1"/>
      </w:tblPr>
      <w:tblGrid>
        <w:gridCol w:w="9360"/>
      </w:tblGrid>
      <w:tr w:rsidR="00336371" w14:paraId="6E19F4C8" w14:textId="77777777">
        <w:trPr>
          <w:jc w:val="center"/>
        </w:trPr>
        <w:tc>
          <w:tcPr>
            <w:tcW w:w="9360" w:type="dxa"/>
            <w:tcBorders>
              <w:left w:val="single" w:sz="36" w:space="0" w:color="2E7D52"/>
            </w:tcBorders>
            <w:shd w:val="clear" w:color="auto" w:fill="EAF5EE"/>
            <w:tcMar>
              <w:top w:w="160" w:type="dxa"/>
              <w:left w:w="220" w:type="dxa"/>
              <w:bottom w:w="160" w:type="dxa"/>
              <w:right w:w="220" w:type="dxa"/>
            </w:tcMar>
          </w:tcPr>
          <w:p w14:paraId="13EFB5B1" w14:textId="77777777" w:rsidR="00336371" w:rsidRDefault="00000000">
            <w:pPr>
              <w:spacing w:after="80"/>
              <w:rPr>
                <w:rFonts w:hint="eastAsia"/>
              </w:rPr>
            </w:pPr>
            <w:r>
              <w:rPr>
                <w:b/>
                <w:color w:val="2C3461"/>
              </w:rPr>
              <w:t>📌 VIVA DEFENSE Q&amp;A</w:t>
            </w:r>
            <w:r>
              <w:rPr>
                <w:b/>
                <w:color w:val="2C3461"/>
              </w:rPr>
              <w:br/>
            </w:r>
            <w:r>
              <w:rPr>
                <w:sz w:val="20"/>
              </w:rPr>
              <w:t>Q8: What is your exact plan for the 2-week sprint?</w:t>
            </w:r>
            <w:r>
              <w:rPr>
                <w:sz w:val="20"/>
              </w:rPr>
              <w:br/>
            </w:r>
            <w:r>
              <w:rPr>
                <w:sz w:val="20"/>
              </w:rPr>
              <w:br/>
              <w:t>Strong Academic Answer:</w:t>
            </w:r>
            <w:r>
              <w:rPr>
                <w:sz w:val="20"/>
              </w:rPr>
              <w:br/>
              <w:t>"Our 14-day sprint focuses strictly on refining existing modules rather than adding scope:</w:t>
            </w:r>
            <w:r>
              <w:rPr>
                <w:sz w:val="20"/>
              </w:rPr>
              <w:br/>
              <w:t>• Week 1 (Days 1–7): Scrape 500+ real-world GitHub manifests (Bitnami, ArgoCD) to evaluate real-world domain adaptation, upgrade NLP intent with DeBERTa, and extend AST extractors for Azure and GCP.</w:t>
            </w:r>
            <w:r>
              <w:rPr>
                <w:sz w:val="20"/>
              </w:rPr>
              <w:br/>
              <w:t>• Week 2 (Days 8–14): Package the pipeline into a reusable GitHub Actions CI/CD bot, implement GraphSAINT mini-batching for large cluster graphs, and cross-validate static alerts against dynamic Falco eBPF runtime events in Minikube."</w:t>
            </w:r>
          </w:p>
        </w:tc>
      </w:tr>
    </w:tbl>
    <w:p w14:paraId="74D0804F" w14:textId="77777777" w:rsidR="00336371" w:rsidRDefault="00336371">
      <w:pPr>
        <w:spacing w:after="120"/>
        <w:rPr>
          <w:rFonts w:hint="eastAsia"/>
        </w:rPr>
      </w:pPr>
    </w:p>
    <w:sectPr w:rsidR="0033637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rinda">
    <w:panose1 w:val="020B0502040204020203"/>
    <w:charset w:val="00"/>
    <w:family w:val="swiss"/>
    <w:pitch w:val="variable"/>
    <w:sig w:usb0="0001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7269844">
    <w:abstractNumId w:val="8"/>
  </w:num>
  <w:num w:numId="2" w16cid:durableId="1601715438">
    <w:abstractNumId w:val="6"/>
  </w:num>
  <w:num w:numId="3" w16cid:durableId="15929156">
    <w:abstractNumId w:val="5"/>
  </w:num>
  <w:num w:numId="4" w16cid:durableId="742607385">
    <w:abstractNumId w:val="4"/>
  </w:num>
  <w:num w:numId="5" w16cid:durableId="565074325">
    <w:abstractNumId w:val="7"/>
  </w:num>
  <w:num w:numId="6" w16cid:durableId="365906702">
    <w:abstractNumId w:val="3"/>
  </w:num>
  <w:num w:numId="7" w16cid:durableId="1600675398">
    <w:abstractNumId w:val="2"/>
  </w:num>
  <w:num w:numId="8" w16cid:durableId="1392583668">
    <w:abstractNumId w:val="1"/>
  </w:num>
  <w:num w:numId="9" w16cid:durableId="2025228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6371"/>
    <w:rsid w:val="003A6B39"/>
    <w:rsid w:val="00AA1D8D"/>
    <w:rsid w:val="00B47730"/>
    <w:rsid w:val="00CB0664"/>
    <w:rsid w:val="00D646C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BD"/>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698C3A0-C76A-411E-A01F-7F0A05E20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Georgia" w:hAnsi="Georgia"/>
      <w:color w:val="343434"/>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C346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C346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11</Pages>
  <Words>3282</Words>
  <Characters>18709</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Robiul Islam Tamim</cp:lastModifiedBy>
  <cp:revision>2</cp:revision>
  <dcterms:created xsi:type="dcterms:W3CDTF">2013-12-23T23:15:00Z</dcterms:created>
  <dcterms:modified xsi:type="dcterms:W3CDTF">2026-09-18T15:24:00Z</dcterms:modified>
  <cp:category/>
</cp:coreProperties>
</file>