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126de13587d4d785c0b25437c8b61d3a0fdf8ea"/>
    <w:p>
      <w:pPr>
        <w:pStyle w:val="Heading1"/>
      </w:pPr>
      <w:r>
        <w:t xml:space="preserve">COMPLETE PROVISIONAL PATENT APPLICATION PACKAGE</w:t>
      </w:r>
    </w:p>
    <w:bookmarkStart w:id="10" w:name="normalized-acwr-divergence-innovation"/>
    <w:p>
      <w:pPr>
        <w:pStyle w:val="Heading2"/>
      </w:pPr>
      <w:r>
        <w:t xml:space="preserve">Normalized ACWR Divergence Innovation</w:t>
      </w:r>
    </w:p>
    <w:bookmarkStart w:id="9" w:name="ready-for-immediate-uspto-filing"/>
    <w:p>
      <w:pPr>
        <w:pStyle w:val="Heading3"/>
      </w:pPr>
      <w:r>
        <w:t xml:space="preserve">Ready for Immediate USPTO Filing</w:t>
      </w:r>
    </w:p>
    <w:p>
      <w:r>
        <w:pict>
          <v:rect style="width:0;height:1.5pt" o:hralign="center" o:hrstd="t" o:hr="t"/>
        </w:pict>
      </w:r>
    </w:p>
    <w:bookmarkEnd w:id="9"/>
    <w:bookmarkEnd w:id="10"/>
    <w:bookmarkStart w:id="11" w:name="filing-summary"/>
    <w:p>
      <w:pPr>
        <w:pStyle w:val="Heading2"/>
      </w:pPr>
      <w:r>
        <w:t xml:space="preserve">📋 FILING SUMMARY</w:t>
      </w:r>
    </w:p>
    <w:p>
      <w:pPr>
        <w:pStyle w:val="FirstParagraph"/>
      </w:pPr>
      <w:r>
        <w:rPr>
          <w:b/>
          <w:bCs/>
        </w:rPr>
        <w:t xml:space="preserve">Application Type</w:t>
      </w:r>
      <w:r>
        <w:t xml:space="preserve">: Provisional Patent Application</w:t>
      </w:r>
      <w:r>
        <w:br/>
      </w:r>
      <w:r>
        <w:rPr>
          <w:b/>
          <w:bCs/>
        </w:rPr>
        <w:t xml:space="preserve">Filing Entity</w:t>
      </w:r>
      <w:r>
        <w:t xml:space="preserve">: Micro Entity</w:t>
      </w:r>
      <w:r>
        <w:br/>
      </w:r>
      <w:r>
        <w:rPr>
          <w:b/>
          <w:bCs/>
        </w:rPr>
        <w:t xml:space="preserve">Filing Fee</w:t>
      </w:r>
      <w:r>
        <w:t xml:space="preserve">: $160 (includes Form SB/15A)</w:t>
      </w:r>
      <w:r>
        <w:br/>
      </w:r>
      <w:r>
        <w:rPr>
          <w:b/>
          <w:bCs/>
        </w:rPr>
        <w:t xml:space="preserve">Priority Date</w:t>
      </w:r>
      <w:r>
        <w:t xml:space="preserve">: Upon filing</w:t>
      </w:r>
      <w:r>
        <w:br/>
      </w:r>
      <w:r>
        <w:rPr>
          <w:b/>
          <w:bCs/>
        </w:rPr>
        <w:t xml:space="preserve">Deadline</w:t>
      </w:r>
      <w:r>
        <w:t xml:space="preserve">: File within 48-72 hours to secure November 2024 implementation priority</w:t>
      </w:r>
    </w:p>
    <w:p>
      <w:r>
        <w:pict>
          <v:rect style="width:0;height:1.5pt" o:hralign="center" o:hrstd="t" o:hr="t"/>
        </w:pict>
      </w:r>
    </w:p>
    <w:bookmarkEnd w:id="11"/>
    <w:bookmarkStart w:id="14" w:name="patent-application-documents"/>
    <w:p>
      <w:pPr>
        <w:pStyle w:val="Heading2"/>
      </w:pPr>
      <w:r>
        <w:t xml:space="preserve">📄 PATENT APPLICATION DOCUMENTS</w:t>
      </w:r>
    </w:p>
    <w:bookmarkStart w:id="12" w:name="title"/>
    <w:p>
      <w:pPr>
        <w:pStyle w:val="Heading3"/>
      </w:pPr>
      <w:r>
        <w:rPr>
          <w:b/>
          <w:bCs/>
        </w:rPr>
        <w:t xml:space="preserve">TITLE</w:t>
      </w:r>
    </w:p>
    <w:p>
      <w:pPr>
        <w:pStyle w:val="FirstParagraph"/>
      </w:pPr>
      <w:r>
        <w:t xml:space="preserve">METHOD AND SYSTEM FOR NORMALIZED DIVERGENCE CALCULATION BETWEEN EXTERNAL AND INTERNAL ACUTE-TO-CHRONIC WORKLOAD RATIOS FOR ATHLETIC INJURY PREDICTION</w:t>
      </w:r>
    </w:p>
    <w:bookmarkEnd w:id="12"/>
    <w:bookmarkStart w:id="13" w:name="abstract"/>
    <w:p>
      <w:pPr>
        <w:pStyle w:val="Heading3"/>
      </w:pPr>
      <w:r>
        <w:rPr>
          <w:b/>
          <w:bCs/>
        </w:rPr>
        <w:t xml:space="preserve">ABSTRACT</w:t>
      </w:r>
    </w:p>
    <w:p>
      <w:pPr>
        <w:pStyle w:val="FirstParagraph"/>
      </w:pPr>
      <w:r>
        <w:t xml:space="preserve">A computer-implemented method and system for predicting athletic injury risk through normalized divergence analysis between external and internal acute-to-chronic workload ratios (ACWR). The system receives GPS-based external training data including distance and elevation measurements, and heart rate-based internal training data, calculating respective ACWR values over 7-day acute and 28-day chronic periods. A novel normalized divergence formula compares external and internal ACWR using arithmetic mean normalization: (external_acwr - internal_acwr) / ((external_acwr + internal_acwr) / 2). The system addresses fundamental limitations in existing single-metric approaches by providing comparative analysis between mechanical training demands and physiological adaptation responses, with particular effectiveness for trail running applications incorporating elevation-adjusted external load calculations.</w:t>
      </w:r>
    </w:p>
    <w:p>
      <w:r>
        <w:pict>
          <v:rect style="width:0;height:1.5pt" o:hralign="center" o:hrstd="t" o:hr="t"/>
        </w:pict>
      </w:r>
    </w:p>
    <w:bookmarkEnd w:id="13"/>
    <w:bookmarkEnd w:id="14"/>
    <w:bookmarkStart w:id="17" w:name="technical-field-and-background"/>
    <w:p>
      <w:pPr>
        <w:pStyle w:val="Heading2"/>
      </w:pPr>
      <w:r>
        <w:t xml:space="preserve">🔬 TECHNICAL FIELD AND BACKGROUND</w:t>
      </w:r>
    </w:p>
    <w:bookmarkStart w:id="15" w:name="technical-field"/>
    <w:p>
      <w:pPr>
        <w:pStyle w:val="Heading3"/>
      </w:pPr>
      <w:r>
        <w:rPr>
          <w:b/>
          <w:bCs/>
        </w:rPr>
        <w:t xml:space="preserve">Technical Field</w:t>
      </w:r>
    </w:p>
    <w:p>
      <w:pPr>
        <w:pStyle w:val="FirstParagraph"/>
      </w:pPr>
      <w:r>
        <w:t xml:space="preserve">This invention relates to athletic training monitoring systems for predicting injury risk through comparative analysis of external mechanical training loads and internal physiological training responses using normalized divergence calculations between acute-to-chronic workload ratios.</w:t>
      </w:r>
    </w:p>
    <w:bookmarkEnd w:id="15"/>
    <w:bookmarkStart w:id="16" w:name="problem-statement"/>
    <w:p>
      <w:pPr>
        <w:pStyle w:val="Heading3"/>
      </w:pPr>
      <w:r>
        <w:rPr>
          <w:b/>
          <w:bCs/>
        </w:rPr>
        <w:t xml:space="preserve">Problem Statement</w:t>
      </w:r>
    </w:p>
    <w:p>
      <w:pPr>
        <w:pStyle w:val="FirstParagraph"/>
      </w:pPr>
      <w:r>
        <w:t xml:space="preserve">Current athletic training monitoring systems suffer from fundamental limitations due to reliance on single-metric approaches. Existing systems calculate ACWR using either external load metrics (GPS-derived distance/elevation) OR internal load metrics (heart rate-based physiological response), but never both in comparative analysis.</w:t>
      </w:r>
    </w:p>
    <w:p>
      <w:pPr>
        <w:pStyle w:val="BodyText"/>
      </w:pPr>
      <w:r>
        <w:rPr>
          <w:b/>
          <w:bCs/>
        </w:rPr>
        <w:t xml:space="preserve">Specific Technical Deficiencies</w:t>
      </w:r>
      <w:r>
        <w:t xml:space="preserve">:</w:t>
      </w:r>
      <w:r>
        <w:t xml:space="preserve"> </w:t>
      </w:r>
      <w:r>
        <w:t xml:space="preserve">-</w:t>
      </w:r>
      <w:r>
        <w:t xml:space="preserve"> </w:t>
      </w:r>
      <w:r>
        <w:rPr>
          <w:b/>
          <w:bCs/>
        </w:rPr>
        <w:t xml:space="preserve">Garmin/Firstbeat</w:t>
      </w:r>
      <w:r>
        <w:t xml:space="preserve">: Internal ACWR only (TRIMP) without external load comparison</w:t>
      </w:r>
      <w:r>
        <w:t xml:space="preserve"> </w:t>
      </w:r>
      <w:r>
        <w:t xml:space="preserve">-</w:t>
      </w:r>
      <w:r>
        <w:t xml:space="preserve"> </w:t>
      </w:r>
      <w:r>
        <w:rPr>
          <w:b/>
          <w:bCs/>
        </w:rPr>
        <w:t xml:space="preserve">Catapult Sports</w:t>
      </w:r>
      <w:r>
        <w:t xml:space="preserve">: External mechanical loads without internal physiological integration</w:t>
      </w:r>
      <w:r>
        <w:br/>
      </w:r>
      <w:r>
        <w:t xml:space="preserve">-</w:t>
      </w:r>
      <w:r>
        <w:t xml:space="preserve"> </w:t>
      </w:r>
      <w:r>
        <w:rPr>
          <w:b/>
          <w:bCs/>
        </w:rPr>
        <w:t xml:space="preserve">Consumer Platforms</w:t>
      </w:r>
      <w:r>
        <w:t xml:space="preserve">: Basic activity tracking without sophisticated ACWR calculations</w:t>
      </w:r>
      <w:r>
        <w:t xml:space="preserve"> </w:t>
      </w:r>
      <w:r>
        <w:t xml:space="preserve">-</w:t>
      </w:r>
      <w:r>
        <w:t xml:space="preserve"> </w:t>
      </w:r>
      <w:r>
        <w:rPr>
          <w:b/>
          <w:bCs/>
        </w:rPr>
        <w:t xml:space="preserve">Strava</w:t>
      </w:r>
      <w:r>
        <w:t xml:space="preserve">: Relative effort scoring lacks dual-metric ACWR divergence analysis</w:t>
      </w:r>
    </w:p>
    <w:p>
      <w:pPr>
        <w:pStyle w:val="BodyText"/>
      </w:pPr>
      <w:r>
        <w:rPr>
          <w:b/>
          <w:bCs/>
        </w:rPr>
        <w:t xml:space="preserve">Technical Gap</w:t>
      </w:r>
      <w:r>
        <w:t xml:space="preserve">: No existing system provides simultaneous calculation of both external and internal ACWR with comparative divergence analysis, creating blind spots where external training stress and internal physiological adaptation become misaligned.</w:t>
      </w:r>
    </w:p>
    <w:p>
      <w:r>
        <w:pict>
          <v:rect style="width:0;height:1.5pt" o:hralign="center" o:hrstd="t" o:hr="t"/>
        </w:pict>
      </w:r>
    </w:p>
    <w:bookmarkEnd w:id="16"/>
    <w:bookmarkEnd w:id="17"/>
    <w:bookmarkStart w:id="21" w:name="invention-summary"/>
    <w:p>
      <w:pPr>
        <w:pStyle w:val="Heading2"/>
      </w:pPr>
      <w:r>
        <w:t xml:space="preserve">💡 INVENTION SUMMARY</w:t>
      </w:r>
    </w:p>
    <w:bookmarkStart w:id="18" w:name="core-innovation"/>
    <w:p>
      <w:pPr>
        <w:pStyle w:val="Heading3"/>
      </w:pPr>
      <w:r>
        <w:rPr>
          <w:b/>
          <w:bCs/>
        </w:rPr>
        <w:t xml:space="preserve">Core Innovation</w:t>
      </w:r>
    </w:p>
    <w:p>
      <w:pPr>
        <w:pStyle w:val="FirstParagraph"/>
      </w:pPr>
      <w:r>
        <w:t xml:space="preserve">Novel normalized divergence calculation between external and internal ACWR using the formula:</w:t>
      </w:r>
    </w:p>
    <w:p>
      <w:pPr>
        <w:pStyle w:val="SourceCode"/>
      </w:pPr>
      <w:r>
        <w:rPr>
          <w:rStyle w:val="VerbatimChar"/>
        </w:rPr>
        <w:t xml:space="preserve">normalized_divergence = (external_acwr - internal_acwr) / ((external_acwr + internal_acwr) / 2)</w:t>
      </w:r>
    </w:p>
    <w:bookmarkEnd w:id="18"/>
    <w:bookmarkStart w:id="19" w:name="key-technical-advantages"/>
    <w:p>
      <w:pPr>
        <w:pStyle w:val="Heading3"/>
      </w:pPr>
      <w:r>
        <w:rPr>
          <w:b/>
          <w:bCs/>
        </w:rPr>
        <w:t xml:space="preserve">Key Technical Advantages</w:t>
      </w:r>
    </w:p>
    <w:p>
      <w:pPr>
        <w:pStyle w:val="Compact"/>
        <w:numPr>
          <w:ilvl w:val="0"/>
          <w:numId w:val="1001"/>
        </w:numPr>
      </w:pPr>
      <w:r>
        <w:rPr>
          <w:b/>
          <w:bCs/>
        </w:rPr>
        <w:t xml:space="preserve">Dual-Metric Integration</w:t>
      </w:r>
      <w:r>
        <w:t xml:space="preserve">: First known implementation combining external mechanical load with internal physiological load through comparative ACWR analysis</w:t>
      </w:r>
    </w:p>
    <w:p>
      <w:pPr>
        <w:pStyle w:val="Compact"/>
        <w:numPr>
          <w:ilvl w:val="0"/>
          <w:numId w:val="1001"/>
        </w:numPr>
      </w:pPr>
      <w:r>
        <w:rPr>
          <w:b/>
          <w:bCs/>
        </w:rPr>
        <w:t xml:space="preserve">Scale-Independent Comparison</w:t>
      </w:r>
      <w:r>
        <w:t xml:space="preserve">: Arithmetic mean normalization enables comparison across diverse athlete populations and training intensities</w:t>
      </w:r>
    </w:p>
    <w:p>
      <w:pPr>
        <w:pStyle w:val="Compact"/>
        <w:numPr>
          <w:ilvl w:val="0"/>
          <w:numId w:val="1001"/>
        </w:numPr>
      </w:pPr>
      <w:r>
        <w:rPr>
          <w:b/>
          <w:bCs/>
        </w:rPr>
        <w:t xml:space="preserve">Real-Time Processing</w:t>
      </w:r>
      <w:r>
        <w:t xml:space="preserve">: Sub-5-second processing latency for immediate injury risk assessment</w:t>
      </w:r>
    </w:p>
    <w:p>
      <w:pPr>
        <w:pStyle w:val="Compact"/>
        <w:numPr>
          <w:ilvl w:val="0"/>
          <w:numId w:val="1001"/>
        </w:numPr>
      </w:pPr>
      <w:r>
        <w:rPr>
          <w:b/>
          <w:bCs/>
        </w:rPr>
        <w:t xml:space="preserve">Trail Running Specialization</w:t>
      </w:r>
      <w:r>
        <w:t xml:space="preserve">: Elevation-adjusted external load calculations address mountainous terrain training needs</w:t>
      </w:r>
    </w:p>
    <w:p>
      <w:pPr>
        <w:pStyle w:val="Compact"/>
        <w:numPr>
          <w:ilvl w:val="0"/>
          <w:numId w:val="1001"/>
        </w:numPr>
      </w:pPr>
      <w:r>
        <w:rPr>
          <w:b/>
          <w:bCs/>
        </w:rPr>
        <w:t xml:space="preserve">Enterprise Scalability</w:t>
      </w:r>
      <w:r>
        <w:t xml:space="preserve">: Multi-user architecture with complete data isolation</w:t>
      </w:r>
    </w:p>
    <w:bookmarkEnd w:id="19"/>
    <w:bookmarkStart w:id="20" w:name="production-evidence"/>
    <w:p>
      <w:pPr>
        <w:pStyle w:val="Heading3"/>
      </w:pPr>
      <w:r>
        <w:rPr>
          <w:b/>
          <w:bCs/>
        </w:rPr>
        <w:t xml:space="preserve">Production Evidence</w:t>
      </w:r>
    </w:p>
    <w:p>
      <w:pPr>
        <w:pStyle w:val="Compact"/>
        <w:numPr>
          <w:ilvl w:val="0"/>
          <w:numId w:val="1002"/>
        </w:numPr>
      </w:pPr>
      <w:r>
        <w:rPr>
          <w:b/>
          <w:bCs/>
        </w:rPr>
        <w:t xml:space="preserve">Platform</w:t>
      </w:r>
      <w:r>
        <w:t xml:space="preserve">:</w:t>
      </w:r>
      <w:r>
        <w:t xml:space="preserve"> </w:t>
      </w:r>
      <w:r>
        <w:t xml:space="preserve">“Your Training Monkey”</w:t>
      </w:r>
      <w:r>
        <w:t xml:space="preserve"> </w:t>
      </w:r>
      <w:r>
        <w:t xml:space="preserve">deployed on Google Cloud Platform</w:t>
      </w:r>
    </w:p>
    <w:p>
      <w:pPr>
        <w:pStyle w:val="Compact"/>
        <w:numPr>
          <w:ilvl w:val="0"/>
          <w:numId w:val="1002"/>
        </w:numPr>
      </w:pPr>
      <w:r>
        <w:rPr>
          <w:b/>
          <w:bCs/>
        </w:rPr>
        <w:t xml:space="preserve">Architecture</w:t>
      </w:r>
      <w:r>
        <w:t xml:space="preserve">: Flask backend, PostgreSQL database, React frontend</w:t>
      </w:r>
    </w:p>
    <w:p>
      <w:pPr>
        <w:pStyle w:val="Compact"/>
        <w:numPr>
          <w:ilvl w:val="0"/>
          <w:numId w:val="1002"/>
        </w:numPr>
      </w:pPr>
      <w:r>
        <w:rPr>
          <w:b/>
          <w:bCs/>
        </w:rPr>
        <w:t xml:space="preserve">Status</w:t>
      </w:r>
      <w:r>
        <w:t xml:space="preserve">: Active beta testing program with expanding user base</w:t>
      </w:r>
    </w:p>
    <w:p>
      <w:pPr>
        <w:pStyle w:val="Compact"/>
        <w:numPr>
          <w:ilvl w:val="0"/>
          <w:numId w:val="1002"/>
        </w:numPr>
      </w:pPr>
      <w:r>
        <w:rPr>
          <w:b/>
          <w:bCs/>
        </w:rPr>
        <w:t xml:space="preserve">Performance</w:t>
      </w:r>
      <w:r>
        <w:t xml:space="preserve">: 2-3 second processing latency, 1000+ concurrent calculations</w:t>
      </w:r>
    </w:p>
    <w:p>
      <w:r>
        <w:pict>
          <v:rect style="width:0;height:1.5pt" o:hralign="center" o:hrstd="t" o:hr="t"/>
        </w:pict>
      </w:r>
    </w:p>
    <w:bookmarkEnd w:id="20"/>
    <w:bookmarkEnd w:id="21"/>
    <w:bookmarkStart w:id="25" w:name="detailed-technical-implementation"/>
    <w:p>
      <w:pPr>
        <w:pStyle w:val="Heading2"/>
      </w:pPr>
      <w:r>
        <w:t xml:space="preserve">🔧 DETAILED TECHNICAL IMPLEMENTATION</w:t>
      </w:r>
    </w:p>
    <w:bookmarkStart w:id="22" w:name="system-architecture"/>
    <w:p>
      <w:pPr>
        <w:pStyle w:val="Heading3"/>
      </w:pPr>
      <w:r>
        <w:rPr>
          <w:b/>
          <w:bCs/>
        </w:rPr>
        <w:t xml:space="preserve">System Architecture</w:t>
      </w:r>
    </w:p>
    <w:p>
      <w:pPr>
        <w:pStyle w:val="FirstParagraph"/>
      </w:pPr>
      <w:r>
        <w:rPr>
          <w:b/>
          <w:bCs/>
        </w:rPr>
        <w:t xml:space="preserve">Data Acquisition Layer</w:t>
      </w:r>
      <w:r>
        <w:t xml:space="preserve">:</w:t>
      </w:r>
      <w:r>
        <w:t xml:space="preserve"> </w:t>
      </w:r>
      <w:r>
        <w:t xml:space="preserve">- GPS tracking devices (distance, elevation, pace)</w:t>
      </w:r>
      <w:r>
        <w:t xml:space="preserve"> </w:t>
      </w:r>
      <w:r>
        <w:t xml:space="preserve">- Heart rate monitoring devices (chest straps, optical sensors)</w:t>
      </w:r>
      <w:r>
        <w:t xml:space="preserve"> </w:t>
      </w:r>
      <w:r>
        <w:t xml:space="preserve">- API integrations (Strava OAuth 2.0, Garmin Connect, Apple Health)</w:t>
      </w:r>
    </w:p>
    <w:p>
      <w:pPr>
        <w:pStyle w:val="BodyText"/>
      </w:pPr>
      <w:r>
        <w:rPr>
          <w:b/>
          <w:bCs/>
        </w:rPr>
        <w:t xml:space="preserve">Processing Engine</w:t>
      </w:r>
      <w:r>
        <w:t xml:space="preserve">:</w:t>
      </w:r>
      <w:r>
        <w:t xml:space="preserve"> </w:t>
      </w:r>
      <w:r>
        <w:t xml:space="preserve">- External ACWR calculation with elevation adjustment</w:t>
      </w:r>
      <w:r>
        <w:t xml:space="preserve"> </w:t>
      </w:r>
      <w:r>
        <w:t xml:space="preserve">- Internal ACWR calculation using TRIMP methodology</w:t>
      </w:r>
      <w:r>
        <w:t xml:space="preserve"> </w:t>
      </w:r>
      <w:r>
        <w:t xml:space="preserve">- Normalized divergence computation with edge case handling</w:t>
      </w:r>
      <w:r>
        <w:t xml:space="preserve"> </w:t>
      </w:r>
      <w:r>
        <w:t xml:space="preserve">- Risk assessment and threshold analysis</w:t>
      </w:r>
    </w:p>
    <w:p>
      <w:pPr>
        <w:pStyle w:val="BodyText"/>
      </w:pPr>
      <w:r>
        <w:rPr>
          <w:b/>
          <w:bCs/>
        </w:rPr>
        <w:t xml:space="preserve">Storage and Output</w:t>
      </w:r>
      <w:r>
        <w:t xml:space="preserve">:</w:t>
      </w:r>
      <w:r>
        <w:t xml:space="preserve"> </w:t>
      </w:r>
      <w:r>
        <w:t xml:space="preserve">- PostgreSQL database with user isolation</w:t>
      </w:r>
      <w:r>
        <w:t xml:space="preserve"> </w:t>
      </w:r>
      <w:r>
        <w:t xml:space="preserve">- Real-time visualization dashboards</w:t>
      </w:r>
      <w:r>
        <w:t xml:space="preserve"> </w:t>
      </w:r>
      <w:r>
        <w:t xml:space="preserve">- Alert generation and notification systems</w:t>
      </w:r>
    </w:p>
    <w:bookmarkEnd w:id="22"/>
    <w:bookmarkStart w:id="23" w:name="mathematical-implementation"/>
    <w:p>
      <w:pPr>
        <w:pStyle w:val="Heading3"/>
      </w:pPr>
      <w:r>
        <w:rPr>
          <w:b/>
          <w:bCs/>
        </w:rPr>
        <w:t xml:space="preserve">Mathematical Implementation</w:t>
      </w:r>
    </w:p>
    <w:p>
      <w:pPr>
        <w:pStyle w:val="FirstParagraph"/>
      </w:pPr>
      <w:r>
        <w:rPr>
          <w:b/>
          <w:bCs/>
        </w:rPr>
        <w:t xml:space="preserve">External ACWR Calculation</w:t>
      </w:r>
      <w:r>
        <w:t xml:space="preserve">:</w:t>
      </w:r>
    </w:p>
    <w:p>
      <w:pPr>
        <w:pStyle w:val="SourceCode"/>
      </w:pPr>
      <w:r>
        <w:rPr>
          <w:rStyle w:val="VerbatimChar"/>
        </w:rPr>
        <w:t xml:space="preserve">External Load = Distance (miles) + (Elevation Gain (feet) / Conversion Factor)</w:t>
      </w:r>
      <w:r>
        <w:br/>
      </w:r>
      <w:r>
        <w:rPr>
          <w:rStyle w:val="VerbatimChar"/>
        </w:rPr>
        <w:t xml:space="preserve">Acute External Load = 7-day rolling average</w:t>
      </w:r>
      <w:r>
        <w:br/>
      </w:r>
      <w:r>
        <w:rPr>
          <w:rStyle w:val="VerbatimChar"/>
        </w:rPr>
        <w:t xml:space="preserve">Chronic External Load = 28-day rolling average  </w:t>
      </w:r>
      <w:r>
        <w:br/>
      </w:r>
      <w:r>
        <w:rPr>
          <w:rStyle w:val="VerbatimChar"/>
        </w:rPr>
        <w:t xml:space="preserve">External ACWR = Acute / Chronic</w:t>
      </w:r>
    </w:p>
    <w:p>
      <w:pPr>
        <w:pStyle w:val="FirstParagraph"/>
      </w:pPr>
      <w:r>
        <w:rPr>
          <w:b/>
          <w:bCs/>
        </w:rPr>
        <w:t xml:space="preserve">Internal ACWR Calculation (TRIMP)</w:t>
      </w:r>
      <w:r>
        <w:t xml:space="preserve">:</w:t>
      </w:r>
    </w:p>
    <w:p>
      <w:pPr>
        <w:pStyle w:val="SourceCode"/>
      </w:pPr>
      <w:r>
        <w:rPr>
          <w:rStyle w:val="VerbatimChar"/>
        </w:rPr>
        <w:t xml:space="preserve">Heart Rate Reserve = (Exercise HR - Resting HR) / (Max HR - Resting HR)</w:t>
      </w:r>
      <w:r>
        <w:br/>
      </w:r>
      <w:r>
        <w:rPr>
          <w:rStyle w:val="VerbatimChar"/>
        </w:rPr>
        <w:t xml:space="preserve">TRIMP = Duration × HR Reserve × 0.64^(k × HR Reserve)</w:t>
      </w:r>
      <w:r>
        <w:br/>
      </w:r>
      <w:r>
        <w:rPr>
          <w:rStyle w:val="VerbatimChar"/>
        </w:rPr>
        <w:t xml:space="preserve">Where k = 1.92 (males) or 1.67 (females)</w:t>
      </w:r>
      <w:r>
        <w:br/>
      </w:r>
      <w:r>
        <w:rPr>
          <w:rStyle w:val="VerbatimChar"/>
        </w:rPr>
        <w:t xml:space="preserve">Internal ACWR = 7-day TRIMP average / 28-day TRIMP average</w:t>
      </w:r>
    </w:p>
    <w:p>
      <w:pPr>
        <w:pStyle w:val="FirstParagraph"/>
      </w:pPr>
      <w:r>
        <w:rPr>
          <w:b/>
          <w:bCs/>
        </w:rPr>
        <w:t xml:space="preserve">Normalized Divergence</w:t>
      </w:r>
      <w:r>
        <w:t xml:space="preserve">:</w:t>
      </w:r>
    </w:p>
    <w:p>
      <w:pPr>
        <w:pStyle w:val="SourceCode"/>
      </w:pPr>
      <w:r>
        <w:rPr>
          <w:rStyle w:val="VerbatimChar"/>
        </w:rPr>
        <w:t xml:space="preserve">normalized_divergence = (external_acwr - internal_acwr) / ((external_acwr + internal_acwr) / 2)</w:t>
      </w:r>
    </w:p>
    <w:bookmarkEnd w:id="23"/>
    <w:bookmarkStart w:id="24" w:name="edge-case-handling"/>
    <w:p>
      <w:pPr>
        <w:pStyle w:val="Heading3"/>
      </w:pPr>
      <w:r>
        <w:rPr>
          <w:b/>
          <w:bCs/>
        </w:rPr>
        <w:t xml:space="preserve">Edge Case Handling</w:t>
      </w:r>
    </w:p>
    <w:p>
      <w:pPr>
        <w:pStyle w:val="Compact"/>
        <w:numPr>
          <w:ilvl w:val="0"/>
          <w:numId w:val="1003"/>
        </w:numPr>
      </w:pPr>
      <w:r>
        <w:rPr>
          <w:b/>
          <w:bCs/>
        </w:rPr>
        <w:t xml:space="preserve">Dual-Zero</w:t>
      </w:r>
      <w:r>
        <w:t xml:space="preserve">: Returns null when both ACWR values equal zero</w:t>
      </w:r>
    </w:p>
    <w:p>
      <w:pPr>
        <w:pStyle w:val="Compact"/>
        <w:numPr>
          <w:ilvl w:val="0"/>
          <w:numId w:val="1003"/>
        </w:numPr>
      </w:pPr>
      <w:r>
        <w:rPr>
          <w:b/>
          <w:bCs/>
        </w:rPr>
        <w:t xml:space="preserve">Single-Zero</w:t>
      </w:r>
      <w:r>
        <w:t xml:space="preserve">: Approaches maximum divergence (±2.0) when one ACWR is zero</w:t>
      </w:r>
    </w:p>
    <w:p>
      <w:pPr>
        <w:pStyle w:val="Compact"/>
        <w:numPr>
          <w:ilvl w:val="0"/>
          <w:numId w:val="1003"/>
        </w:numPr>
      </w:pPr>
      <w:r>
        <w:rPr>
          <w:b/>
          <w:bCs/>
        </w:rPr>
        <w:t xml:space="preserve">Near-Zero</w:t>
      </w:r>
      <w:r>
        <w:t xml:space="preserve">: Threshold handling (&lt; 0.01) prevents numerical instability</w:t>
      </w:r>
    </w:p>
    <w:p>
      <w:pPr>
        <w:pStyle w:val="Compact"/>
        <w:numPr>
          <w:ilvl w:val="0"/>
          <w:numId w:val="1003"/>
        </w:numPr>
      </w:pPr>
      <w:r>
        <w:rPr>
          <w:b/>
          <w:bCs/>
        </w:rPr>
        <w:t xml:space="preserve">Null Inputs</w:t>
      </w:r>
      <w:r>
        <w:t xml:space="preserve">: Graceful handling maintains system stability</w:t>
      </w:r>
    </w:p>
    <w:p>
      <w:r>
        <w:pict>
          <v:rect style="width:0;height:1.5pt" o:hralign="center" o:hrstd="t" o:hr="t"/>
        </w:pict>
      </w:r>
    </w:p>
    <w:bookmarkEnd w:id="24"/>
    <w:bookmarkEnd w:id="25"/>
    <w:bookmarkStart w:id="28" w:name="complete-patent-claims"/>
    <w:p>
      <w:pPr>
        <w:pStyle w:val="Heading2"/>
      </w:pPr>
      <w:r>
        <w:t xml:space="preserve">📜 COMPLETE PATENT CLAIMS</w:t>
      </w:r>
    </w:p>
    <w:bookmarkStart w:id="26" w:name="independent-claims"/>
    <w:p>
      <w:pPr>
        <w:pStyle w:val="Heading3"/>
      </w:pPr>
      <w:r>
        <w:rPr>
          <w:b/>
          <w:bCs/>
        </w:rPr>
        <w:t xml:space="preserve">INDEPENDENT CLAIMS</w:t>
      </w:r>
    </w:p>
    <w:p>
      <w:pPr>
        <w:pStyle w:val="FirstParagraph"/>
      </w:pPr>
      <w:r>
        <w:rPr>
          <w:b/>
          <w:bCs/>
        </w:rPr>
        <w:t xml:space="preserve">CLAIM 1</w:t>
      </w:r>
      <w:r>
        <w:t xml:space="preserve"> </w:t>
      </w:r>
      <w:r>
        <w:t xml:space="preserve">(Method Claim - Core Innovation)</w:t>
      </w:r>
    </w:p>
    <w:p>
      <w:pPr>
        <w:pStyle w:val="BodyText"/>
      </w:pPr>
      <w:r>
        <w:t xml:space="preserve">A computer-implemented method for predicting injury risk in athletes engaged in physical training activities, comprising:</w:t>
      </w:r>
    </w:p>
    <w:p>
      <w:pPr>
        <w:numPr>
          <w:ilvl w:val="0"/>
          <w:numId w:val="1004"/>
        </w:numPr>
      </w:pPr>
      <w:r>
        <w:t xml:space="preserve">receiving external training load data from one or more tracking devices, said external training load data including distance measurements and elevation gain measurements during athletic activities;</w:t>
      </w:r>
    </w:p>
    <w:p>
      <w:pPr>
        <w:numPr>
          <w:ilvl w:val="0"/>
          <w:numId w:val="1004"/>
        </w:numPr>
      </w:pPr>
      <w:r>
        <w:t xml:space="preserve">calculating an external acute-to-chronic workload ratio (external ACWR) by:</w:t>
      </w:r>
    </w:p>
    <w:p>
      <w:pPr>
        <w:pStyle w:val="Compact"/>
        <w:numPr>
          <w:ilvl w:val="1"/>
          <w:numId w:val="1005"/>
        </w:numPr>
      </w:pPr>
      <w:r>
        <w:t xml:space="preserve">determining acute external load as a rolling average of external training loads over a first predetermined time period of approximately 7 days,</w:t>
      </w:r>
    </w:p>
    <w:p>
      <w:pPr>
        <w:pStyle w:val="Compact"/>
        <w:numPr>
          <w:ilvl w:val="1"/>
          <w:numId w:val="1005"/>
        </w:numPr>
      </w:pPr>
      <w:r>
        <w:t xml:space="preserve">determining chronic external load as a rolling average of external training loads over a second predetermined time period of approximately 28 days, and</w:t>
      </w:r>
    </w:p>
    <w:p>
      <w:pPr>
        <w:pStyle w:val="Compact"/>
        <w:numPr>
          <w:ilvl w:val="1"/>
          <w:numId w:val="1005"/>
        </w:numPr>
      </w:pPr>
      <w:r>
        <w:t xml:space="preserve">computing said external ACWR as a ratio of said acute external load to said chronic external load;</w:t>
      </w:r>
    </w:p>
    <w:p>
      <w:pPr>
        <w:numPr>
          <w:ilvl w:val="0"/>
          <w:numId w:val="1004"/>
        </w:numPr>
      </w:pPr>
      <w:r>
        <w:t xml:space="preserve">receiving internal training load data from one or more physiological monitoring devices, said internal training load data including heart rate measurements during said athletic activities;</w:t>
      </w:r>
    </w:p>
    <w:p>
      <w:pPr>
        <w:numPr>
          <w:ilvl w:val="0"/>
          <w:numId w:val="1004"/>
        </w:numPr>
      </w:pPr>
      <w:r>
        <w:t xml:space="preserve">calculating an internal acute-to-chronic workload ratio (internal ACWR) using Training Impulse (TRIMP) methodology by:</w:t>
      </w:r>
    </w:p>
    <w:p>
      <w:pPr>
        <w:pStyle w:val="Compact"/>
        <w:numPr>
          <w:ilvl w:val="1"/>
          <w:numId w:val="1006"/>
        </w:numPr>
      </w:pPr>
      <w:r>
        <w:t xml:space="preserve">computing TRIMP values based on exercise duration, heart rate reserve, and exponential weighting factors,</w:t>
      </w:r>
    </w:p>
    <w:p>
      <w:pPr>
        <w:pStyle w:val="Compact"/>
        <w:numPr>
          <w:ilvl w:val="1"/>
          <w:numId w:val="1006"/>
        </w:numPr>
      </w:pPr>
      <w:r>
        <w:t xml:space="preserve">determining acute internal load as a rolling average of TRIMP values over said first predetermined time period,</w:t>
      </w:r>
    </w:p>
    <w:p>
      <w:pPr>
        <w:pStyle w:val="Compact"/>
        <w:numPr>
          <w:ilvl w:val="1"/>
          <w:numId w:val="1006"/>
        </w:numPr>
      </w:pPr>
      <w:r>
        <w:t xml:space="preserve">determining chronic internal load as a rolling average of TRIMP values over said second predetermined time period, and</w:t>
      </w:r>
    </w:p>
    <w:p>
      <w:pPr>
        <w:pStyle w:val="Compact"/>
        <w:numPr>
          <w:ilvl w:val="1"/>
          <w:numId w:val="1006"/>
        </w:numPr>
      </w:pPr>
      <w:r>
        <w:t xml:space="preserve">computing said internal ACWR as a ratio of said acute internal load to said chronic internal load;</w:t>
      </w:r>
    </w:p>
    <w:p>
      <w:pPr>
        <w:numPr>
          <w:ilvl w:val="0"/>
          <w:numId w:val="1004"/>
        </w:numPr>
      </w:pPr>
      <w:r>
        <w:t xml:space="preserve">computing a normalized divergence value between said external ACWR and said internal ACWR using the formula:</w:t>
      </w:r>
      <w:r>
        <w:t xml:space="preserve"> </w:t>
      </w:r>
      <w:r>
        <w:t xml:space="preserve">normalized_divergence = (external_acwr - internal_acwr) / ((external_acwr + internal_acwr) / 2);</w:t>
      </w:r>
    </w:p>
    <w:p>
      <w:pPr>
        <w:numPr>
          <w:ilvl w:val="0"/>
          <w:numId w:val="1004"/>
        </w:numPr>
      </w:pPr>
      <w:r>
        <w:t xml:space="preserve">determining injury risk level based on magnitude and direction of said normalized divergence value; and</w:t>
      </w:r>
    </w:p>
    <w:p>
      <w:pPr>
        <w:numPr>
          <w:ilvl w:val="0"/>
          <w:numId w:val="1004"/>
        </w:numPr>
      </w:pPr>
      <w:r>
        <w:t xml:space="preserve">generating an injury risk assessment output indicating potential for injury occurrence within a predetermined future time period.</w:t>
      </w:r>
    </w:p>
    <w:p>
      <w:pPr>
        <w:pStyle w:val="FirstParagraph"/>
      </w:pPr>
      <w:r>
        <w:rPr>
          <w:b/>
          <w:bCs/>
        </w:rPr>
        <w:t xml:space="preserve">CLAIM 2</w:t>
      </w:r>
      <w:r>
        <w:t xml:space="preserve"> </w:t>
      </w:r>
      <w:r>
        <w:t xml:space="preserve">(System Claim - Technical Architecture)</w:t>
      </w:r>
    </w:p>
    <w:p>
      <w:pPr>
        <w:pStyle w:val="BodyText"/>
      </w:pPr>
      <w:r>
        <w:t xml:space="preserve">A system for monitoring athletic training loads and predicting injury risk, comprising:</w:t>
      </w:r>
    </w:p>
    <w:p>
      <w:pPr>
        <w:numPr>
          <w:ilvl w:val="0"/>
          <w:numId w:val="1007"/>
        </w:numPr>
      </w:pPr>
      <w:r>
        <w:t xml:space="preserve">a data acquisition interface configured to receive external training load data from GPS tracking devices and internal training load data from heart rate monitoring devices;</w:t>
      </w:r>
    </w:p>
    <w:p>
      <w:pPr>
        <w:numPr>
          <w:ilvl w:val="0"/>
          <w:numId w:val="1007"/>
        </w:numPr>
      </w:pPr>
      <w:r>
        <w:t xml:space="preserve">a memory storage unit configured to maintain historical training load data for calculation of rolling averages over acute and chronic time periods;</w:t>
      </w:r>
    </w:p>
    <w:p>
      <w:pPr>
        <w:numPr>
          <w:ilvl w:val="0"/>
          <w:numId w:val="1007"/>
        </w:numPr>
      </w:pPr>
      <w:r>
        <w:t xml:space="preserve">a processing unit configured to calculate external and internal acute-to-chronic workload ratios and compute normalized divergence values using arithmetic mean normalization;</w:t>
      </w:r>
    </w:p>
    <w:p>
      <w:pPr>
        <w:numPr>
          <w:ilvl w:val="0"/>
          <w:numId w:val="1007"/>
        </w:numPr>
      </w:pPr>
      <w:r>
        <w:t xml:space="preserve">a risk assessment engine configured to correlate said normalized divergence values with predetermined injury risk thresholds; and</w:t>
      </w:r>
    </w:p>
    <w:p>
      <w:pPr>
        <w:numPr>
          <w:ilvl w:val="0"/>
          <w:numId w:val="1007"/>
        </w:numPr>
      </w:pPr>
      <w:r>
        <w:t xml:space="preserve">an output interface configured to present injury risk assessments and training recommendations to users.</w:t>
      </w:r>
    </w:p>
    <w:p>
      <w:pPr>
        <w:pStyle w:val="FirstParagraph"/>
      </w:pPr>
      <w:r>
        <w:rPr>
          <w:b/>
          <w:bCs/>
        </w:rPr>
        <w:t xml:space="preserve">CLAIM 3</w:t>
      </w:r>
      <w:r>
        <w:t xml:space="preserve"> </w:t>
      </w:r>
      <w:r>
        <w:t xml:space="preserve">(Computer-Readable Medium Claim)</w:t>
      </w:r>
    </w:p>
    <w:p>
      <w:pPr>
        <w:pStyle w:val="BodyText"/>
      </w:pPr>
      <w:r>
        <w:t xml:space="preserve">A non-transitory computer-readable medium storing instructions that, when executed by one or more processors, cause said processors to perform operations comprising processing external and internal training load data, computing normalized divergence between ACWR values, analyzing divergence for injury risk levels, and generating output signals for risk alerts and training recommendations.</w:t>
      </w:r>
    </w:p>
    <w:bookmarkEnd w:id="26"/>
    <w:bookmarkStart w:id="27" w:name="dependent-claims-4-15"/>
    <w:p>
      <w:pPr>
        <w:pStyle w:val="Heading3"/>
      </w:pPr>
      <w:r>
        <w:rPr>
          <w:b/>
          <w:bCs/>
        </w:rPr>
        <w:t xml:space="preserve">DEPENDENT CLAIMS (4-15)</w:t>
      </w:r>
    </w:p>
    <w:p>
      <w:pPr>
        <w:pStyle w:val="FirstParagraph"/>
      </w:pPr>
      <w:r>
        <w:rPr>
          <w:b/>
          <w:bCs/>
        </w:rPr>
        <w:t xml:space="preserve">CLAIM 4</w:t>
      </w:r>
      <w:r>
        <w:t xml:space="preserve">: Elevation load calculation with conversion factor 600-1400 feet per mile</w:t>
      </w:r>
      <w:r>
        <w:t xml:space="preserve"> </w:t>
      </w:r>
      <w:r>
        <w:rPr>
          <w:b/>
          <w:bCs/>
        </w:rPr>
        <w:t xml:space="preserve">CLAIM 5</w:t>
      </w:r>
      <w:r>
        <w:t xml:space="preserve">: Specific 1000-foot conversion factor for trail running</w:t>
      </w:r>
      <w:r>
        <w:t xml:space="preserve"> </w:t>
      </w:r>
      <w:r>
        <w:rPr>
          <w:b/>
          <w:bCs/>
        </w:rPr>
        <w:t xml:space="preserve">CLAIM 6</w:t>
      </w:r>
      <w:r>
        <w:t xml:space="preserve">: TRIMP calculation with gender-specific exponential weighting</w:t>
      </w:r>
      <w:r>
        <w:t xml:space="preserve"> </w:t>
      </w:r>
      <w:r>
        <w:rPr>
          <w:b/>
          <w:bCs/>
        </w:rPr>
        <w:t xml:space="preserve">CLAIM 7</w:t>
      </w:r>
      <w:r>
        <w:t xml:space="preserve">: Alternative divergence formulations (absolute, ratio, percentage, z-score)</w:t>
      </w:r>
      <w:r>
        <w:t xml:space="preserve"> </w:t>
      </w:r>
      <w:r>
        <w:rPr>
          <w:b/>
          <w:bCs/>
        </w:rPr>
        <w:t xml:space="preserve">CLAIM 8</w:t>
      </w:r>
      <w:r>
        <w:t xml:space="preserve">: Risk threshold classification (low &lt;0.3, moderate 0.3-0.5, high &gt;0.5)</w:t>
      </w:r>
      <w:r>
        <w:t xml:space="preserve"> </w:t>
      </w:r>
      <w:r>
        <w:rPr>
          <w:b/>
          <w:bCs/>
        </w:rPr>
        <w:t xml:space="preserve">CLAIM 9</w:t>
      </w:r>
      <w:r>
        <w:t xml:space="preserve">: Real-time processing with &lt;5 second latency</w:t>
      </w:r>
      <w:r>
        <w:t xml:space="preserve"> </w:t>
      </w:r>
      <w:r>
        <w:rPr>
          <w:b/>
          <w:bCs/>
        </w:rPr>
        <w:t xml:space="preserve">CLAIM 10</w:t>
      </w:r>
      <w:r>
        <w:t xml:space="preserve">: Multi-user architecture with data isolation</w:t>
      </w:r>
      <w:r>
        <w:t xml:space="preserve"> </w:t>
      </w:r>
      <w:r>
        <w:rPr>
          <w:b/>
          <w:bCs/>
        </w:rPr>
        <w:t xml:space="preserve">CLAIM 11</w:t>
      </w:r>
      <w:r>
        <w:t xml:space="preserve">: Alert generation with configurable thresholds</w:t>
      </w:r>
      <w:r>
        <w:t xml:space="preserve"> </w:t>
      </w:r>
      <w:r>
        <w:rPr>
          <w:b/>
          <w:bCs/>
        </w:rPr>
        <w:t xml:space="preserve">CLAIM 12</w:t>
      </w:r>
      <w:r>
        <w:t xml:space="preserve">: Temporal window variations (5-10 days acute, 21-35 days chronic)</w:t>
      </w:r>
      <w:r>
        <w:t xml:space="preserve"> </w:t>
      </w:r>
      <w:r>
        <w:rPr>
          <w:b/>
          <w:bCs/>
        </w:rPr>
        <w:t xml:space="preserve">CLAIM 13</w:t>
      </w:r>
      <w:r>
        <w:t xml:space="preserve">: Physiological parameter customization</w:t>
      </w:r>
      <w:r>
        <w:t xml:space="preserve"> </w:t>
      </w:r>
      <w:r>
        <w:rPr>
          <w:b/>
          <w:bCs/>
        </w:rPr>
        <w:t xml:space="preserve">CLAIM 14</w:t>
      </w:r>
      <w:r>
        <w:t xml:space="preserve">: Integration with fitness technology platforms</w:t>
      </w:r>
      <w:r>
        <w:t xml:space="preserve"> </w:t>
      </w:r>
      <w:r>
        <w:rPr>
          <w:b/>
          <w:bCs/>
        </w:rPr>
        <w:t xml:space="preserve">CLAIM 15</w:t>
      </w:r>
      <w:r>
        <w:t xml:space="preserve">: Edge case handling for divergence calculation</w:t>
      </w:r>
    </w:p>
    <w:p>
      <w:r>
        <w:pict>
          <v:rect style="width:0;height:1.5pt" o:hralign="center" o:hrstd="t" o:hr="t"/>
        </w:pict>
      </w:r>
    </w:p>
    <w:bookmarkEnd w:id="27"/>
    <w:bookmarkEnd w:id="28"/>
    <w:bookmarkStart w:id="31" w:name="competitive-differentiation"/>
    <w:p>
      <w:pPr>
        <w:pStyle w:val="Heading2"/>
      </w:pPr>
      <w:r>
        <w:t xml:space="preserve">🎯 COMPETITIVE DIFFERENTIATION</w:t>
      </w:r>
    </w:p>
    <w:bookmarkStart w:id="29" w:name="prior-art-analysis"/>
    <w:p>
      <w:pPr>
        <w:pStyle w:val="Heading3"/>
      </w:pPr>
      <w:r>
        <w:rPr>
          <w:b/>
          <w:bCs/>
        </w:rPr>
        <w:t xml:space="preserve">Prior Art Analysis</w:t>
      </w:r>
    </w:p>
    <w:p>
      <w:pPr>
        <w:pStyle w:val="FirstParagraph"/>
      </w:pPr>
      <w:r>
        <w:rPr>
          <w:b/>
          <w:bCs/>
        </w:rPr>
        <w:t xml:space="preserve">No Existing Patents Found</w:t>
      </w:r>
      <w:r>
        <w:t xml:space="preserve"> </w:t>
      </w:r>
      <w:r>
        <w:t xml:space="preserve">for normalized divergence between external and internal ACWR metrics.</w:t>
      </w:r>
    </w:p>
    <w:p>
      <w:pPr>
        <w:pStyle w:val="BodyText"/>
      </w:pPr>
      <w:r>
        <w:rPr>
          <w:b/>
          <w:bCs/>
        </w:rPr>
        <w:t xml:space="preserve">Key Differentiators</w:t>
      </w:r>
      <w:r>
        <w:t xml:space="preserve">:</w:t>
      </w:r>
      <w:r>
        <w:t xml:space="preserve"> </w:t>
      </w:r>
      <w:r>
        <w:t xml:space="preserve">-</w:t>
      </w:r>
      <w:r>
        <w:t xml:space="preserve"> </w:t>
      </w:r>
      <w:r>
        <w:rPr>
          <w:b/>
          <w:bCs/>
        </w:rPr>
        <w:t xml:space="preserve">Garmin/Firstbeat</w:t>
      </w:r>
      <w:r>
        <w:t xml:space="preserve">: Internal metrics only →</w:t>
      </w:r>
      <w:r>
        <w:t xml:space="preserve"> </w:t>
      </w:r>
      <w:r>
        <w:rPr>
          <w:b/>
          <w:bCs/>
        </w:rPr>
        <w:t xml:space="preserve">Our advantage</w:t>
      </w:r>
      <w:r>
        <w:t xml:space="preserve">: Dual-metric integration</w:t>
      </w:r>
      <w:r>
        <w:t xml:space="preserve"> </w:t>
      </w:r>
      <w:r>
        <w:t xml:space="preserve">-</w:t>
      </w:r>
      <w:r>
        <w:t xml:space="preserve"> </w:t>
      </w:r>
      <w:r>
        <w:rPr>
          <w:b/>
          <w:bCs/>
        </w:rPr>
        <w:t xml:space="preserve">Catapult Sports</w:t>
      </w:r>
      <w:r>
        <w:t xml:space="preserve">: External metrics only →</w:t>
      </w:r>
      <w:r>
        <w:t xml:space="preserve"> </w:t>
      </w:r>
      <w:r>
        <w:rPr>
          <w:b/>
          <w:bCs/>
        </w:rPr>
        <w:t xml:space="preserve">Our advantage</w:t>
      </w:r>
      <w:r>
        <w:t xml:space="preserve">: Physiological comparison</w:t>
      </w:r>
      <w:r>
        <w:t xml:space="preserve"> </w:t>
      </w:r>
      <w:r>
        <w:t xml:space="preserve">-</w:t>
      </w:r>
      <w:r>
        <w:t xml:space="preserve"> </w:t>
      </w:r>
      <w:r>
        <w:rPr>
          <w:b/>
          <w:bCs/>
        </w:rPr>
        <w:t xml:space="preserve">Consumer Platforms</w:t>
      </w:r>
      <w:r>
        <w:t xml:space="preserve">: Basic tracking →</w:t>
      </w:r>
      <w:r>
        <w:t xml:space="preserve"> </w:t>
      </w:r>
      <w:r>
        <w:rPr>
          <w:b/>
          <w:bCs/>
        </w:rPr>
        <w:t xml:space="preserve">Our advantage</w:t>
      </w:r>
      <w:r>
        <w:t xml:space="preserve">: Scientific ACWR methodology</w:t>
      </w:r>
      <w:r>
        <w:t xml:space="preserve"> </w:t>
      </w:r>
      <w:r>
        <w:t xml:space="preserve">-</w:t>
      </w:r>
      <w:r>
        <w:t xml:space="preserve"> </w:t>
      </w:r>
      <w:r>
        <w:rPr>
          <w:b/>
          <w:bCs/>
        </w:rPr>
        <w:t xml:space="preserve">Professional Systems</w:t>
      </w:r>
      <w:r>
        <w:t xml:space="preserve">: Single-metric ACWR →</w:t>
      </w:r>
      <w:r>
        <w:t xml:space="preserve"> </w:t>
      </w:r>
      <w:r>
        <w:rPr>
          <w:b/>
          <w:bCs/>
        </w:rPr>
        <w:t xml:space="preserve">Our advantage</w:t>
      </w:r>
      <w:r>
        <w:t xml:space="preserve">: Divergence analysis</w:t>
      </w:r>
    </w:p>
    <w:bookmarkEnd w:id="29"/>
    <w:bookmarkStart w:id="30" w:name="technical-superiority"/>
    <w:p>
      <w:pPr>
        <w:pStyle w:val="Heading3"/>
      </w:pPr>
      <w:r>
        <w:rPr>
          <w:b/>
          <w:bCs/>
        </w:rPr>
        <w:t xml:space="preserve">Technical Superiority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Existing Systems</w:t>
            </w:r>
          </w:p>
        </w:tc>
        <w:tc>
          <w:tcPr/>
          <w:p>
            <w:pPr>
              <w:pStyle w:val="Compact"/>
            </w:pPr>
            <w:r>
              <w:t xml:space="preserve">Our Innovation</w:t>
            </w:r>
          </w:p>
        </w:tc>
      </w:tr>
      <w:tr>
        <w:tc>
          <w:tcPr/>
          <w:p>
            <w:pPr>
              <w:pStyle w:val="Compact"/>
            </w:pPr>
            <w:r>
              <w:t xml:space="preserve">External ACWR</w:t>
            </w:r>
          </w:p>
        </w:tc>
        <w:tc>
          <w:tcPr/>
          <w:p>
            <w:pPr>
              <w:pStyle w:val="Compact"/>
            </w:pPr>
            <w:r>
              <w:t xml:space="preserve">Limited implementations</w:t>
            </w:r>
          </w:p>
        </w:tc>
        <w:tc>
          <w:tcPr/>
          <w:p>
            <w:pPr>
              <w:pStyle w:val="Compact"/>
            </w:pPr>
            <w:r>
              <w:t xml:space="preserve">✓ Elevation-adjusted</w:t>
            </w:r>
          </w:p>
        </w:tc>
      </w:tr>
      <w:tr>
        <w:tc>
          <w:tcPr/>
          <w:p>
            <w:pPr>
              <w:pStyle w:val="Compact"/>
            </w:pPr>
            <w:r>
              <w:t xml:space="preserve">Internal ACWR</w:t>
            </w:r>
          </w:p>
        </w:tc>
        <w:tc>
          <w:tcPr/>
          <w:p>
            <w:pPr>
              <w:pStyle w:val="Compact"/>
            </w:pPr>
            <w:r>
              <w:t xml:space="preserve">Garmin/Polar only</w:t>
            </w:r>
          </w:p>
        </w:tc>
        <w:tc>
          <w:tcPr/>
          <w:p>
            <w:pPr>
              <w:pStyle w:val="Compact"/>
            </w:pPr>
            <w:r>
              <w:t xml:space="preserve">✓ Advanced TRIMP</w:t>
            </w:r>
          </w:p>
        </w:tc>
      </w:tr>
      <w:tr>
        <w:tc>
          <w:tcPr/>
          <w:p>
            <w:pPr>
              <w:pStyle w:val="Compact"/>
            </w:pPr>
            <w:r>
              <w:t xml:space="preserve">Divergence Analysis</w:t>
            </w:r>
          </w:p>
        </w:tc>
        <w:tc>
          <w:tcPr/>
          <w:p>
            <w:pPr>
              <w:pStyle w:val="Compact"/>
            </w:pPr>
            <w:r>
              <w:t xml:space="preserve">None found</w:t>
            </w:r>
          </w:p>
        </w:tc>
        <w:tc>
          <w:tcPr/>
          <w:p>
            <w:pPr>
              <w:pStyle w:val="Compact"/>
            </w:pPr>
            <w:r>
              <w:t xml:space="preserve">✓ Novel methodology</w:t>
            </w:r>
          </w:p>
        </w:tc>
      </w:tr>
      <w:tr>
        <w:tc>
          <w:tcPr/>
          <w:p>
            <w:pPr>
              <w:pStyle w:val="Compact"/>
            </w:pPr>
            <w:r>
              <w:t xml:space="preserve">Real-time Processing</w:t>
            </w:r>
          </w:p>
        </w:tc>
        <w:tc>
          <w:tcPr/>
          <w:p>
            <w:pPr>
              <w:pStyle w:val="Compact"/>
            </w:pPr>
            <w:r>
              <w:t xml:space="preserve">Basic</w:t>
            </w:r>
          </w:p>
        </w:tc>
        <w:tc>
          <w:tcPr/>
          <w:p>
            <w:pPr>
              <w:pStyle w:val="Compact"/>
            </w:pPr>
            <w:r>
              <w:t xml:space="preserve">✓ Sub-5-second latency</w:t>
            </w:r>
          </w:p>
        </w:tc>
      </w:tr>
      <w:tr>
        <w:tc>
          <w:tcPr/>
          <w:p>
            <w:pPr>
              <w:pStyle w:val="Compact"/>
            </w:pPr>
            <w:r>
              <w:t xml:space="preserve">Multi-user Platform</w:t>
            </w:r>
          </w:p>
        </w:tc>
        <w:tc>
          <w:tcPr/>
          <w:p>
            <w:pPr>
              <w:pStyle w:val="Compact"/>
            </w:pPr>
            <w:r>
              <w:t xml:space="preserve">Limited</w:t>
            </w:r>
          </w:p>
        </w:tc>
        <w:tc>
          <w:tcPr/>
          <w:p>
            <w:pPr>
              <w:pStyle w:val="Compact"/>
            </w:pPr>
            <w:r>
              <w:t xml:space="preserve">✓ Enterprise-grade</w:t>
            </w:r>
          </w:p>
        </w:tc>
      </w:tr>
      <w:tr>
        <w:tc>
          <w:tcPr/>
          <w:p>
            <w:pPr>
              <w:pStyle w:val="Compact"/>
            </w:pPr>
            <w:r>
              <w:t xml:space="preserve">Trail Running Focus</w:t>
            </w:r>
          </w:p>
        </w:tc>
        <w:tc>
          <w:tcPr/>
          <w:p>
            <w:pPr>
              <w:pStyle w:val="Compact"/>
            </w:pPr>
            <w:r>
              <w:t xml:space="preserve">None</w:t>
            </w:r>
          </w:p>
        </w:tc>
        <w:tc>
          <w:tcPr/>
          <w:p>
            <w:pPr>
              <w:pStyle w:val="Compact"/>
            </w:pPr>
            <w:r>
              <w:t xml:space="preserve">✓ Specialized</w:t>
            </w:r>
          </w:p>
        </w:tc>
      </w:tr>
    </w:tbl>
    <w:p>
      <w:r>
        <w:pict>
          <v:rect style="width:0;height:1.5pt" o:hralign="center" o:hrstd="t" o:hr="t"/>
        </w:pict>
      </w:r>
    </w:p>
    <w:bookmarkEnd w:id="30"/>
    <w:bookmarkEnd w:id="31"/>
    <w:bookmarkStart w:id="35" w:name="filing-requirements-and-costs"/>
    <w:p>
      <w:pPr>
        <w:pStyle w:val="Heading2"/>
      </w:pPr>
      <w:r>
        <w:t xml:space="preserve">💰 FILING REQUIREMENTS AND COSTS</w:t>
      </w:r>
    </w:p>
    <w:bookmarkStart w:id="32" w:name="micro-entity-status-requirements"/>
    <w:p>
      <w:pPr>
        <w:pStyle w:val="Heading3"/>
      </w:pPr>
      <w:r>
        <w:rPr>
          <w:b/>
          <w:bCs/>
        </w:rPr>
        <w:t xml:space="preserve">Micro Entity Status Requirements</w:t>
      </w:r>
    </w:p>
    <w:p>
      <w:pPr>
        <w:pStyle w:val="FirstParagraph"/>
      </w:pPr>
      <w:r>
        <w:rPr>
          <w:b/>
          <w:bCs/>
        </w:rPr>
        <w:t xml:space="preserve">Qualification Criteria</w:t>
      </w:r>
      <w:r>
        <w:t xml:space="preserve"> </w:t>
      </w:r>
      <w:r>
        <w:t xml:space="preserve">(ALL must be met):</w:t>
      </w:r>
      <w:r>
        <w:t xml:space="preserve"> </w:t>
      </w:r>
      <w:r>
        <w:t xml:space="preserve">1.</w:t>
      </w:r>
      <w:r>
        <w:t xml:space="preserve"> </w:t>
      </w:r>
      <w:r>
        <w:rPr>
          <w:b/>
          <w:bCs/>
        </w:rPr>
        <w:t xml:space="preserve">Small Entity</w:t>
      </w:r>
      <w:r>
        <w:t xml:space="preserve">: Individual inventor, &lt;500 employees, or nonprofit</w:t>
      </w:r>
      <w:r>
        <w:t xml:space="preserve"> </w:t>
      </w:r>
      <w:r>
        <w:t xml:space="preserve">2.</w:t>
      </w:r>
      <w:r>
        <w:t xml:space="preserve"> </w:t>
      </w:r>
      <w:r>
        <w:rPr>
          <w:b/>
          <w:bCs/>
        </w:rPr>
        <w:t xml:space="preserve">Income Limit</w:t>
      </w:r>
      <w:r>
        <w:t xml:space="preserve">: &lt;$206,557 gross income in 2024</w:t>
      </w:r>
      <w:r>
        <w:t xml:space="preserve"> </w:t>
      </w:r>
      <w:r>
        <w:t xml:space="preserve">3.</w:t>
      </w:r>
      <w:r>
        <w:t xml:space="preserve"> </w:t>
      </w:r>
      <w:r>
        <w:rPr>
          <w:b/>
          <w:bCs/>
        </w:rPr>
        <w:t xml:space="preserve">Application Limit</w:t>
      </w:r>
      <w:r>
        <w:t xml:space="preserve">: &lt;4 previous patent applications as inventor</w:t>
      </w:r>
      <w:r>
        <w:t xml:space="preserve"> </w:t>
      </w:r>
      <w:r>
        <w:t xml:space="preserve">4.</w:t>
      </w:r>
      <w:r>
        <w:t xml:space="preserve"> </w:t>
      </w:r>
      <w:r>
        <w:rPr>
          <w:b/>
          <w:bCs/>
        </w:rPr>
        <w:t xml:space="preserve">Assignment Restriction</w:t>
      </w:r>
      <w:r>
        <w:t xml:space="preserve">: No licensing to entities exceeding income limits</w:t>
      </w:r>
    </w:p>
    <w:p>
      <w:pPr>
        <w:pStyle w:val="BodyText"/>
      </w:pPr>
      <w:r>
        <w:rPr>
          <w:b/>
          <w:bCs/>
        </w:rPr>
        <w:t xml:space="preserve">Required Form</w:t>
      </w:r>
      <w:r>
        <w:t xml:space="preserve">: SB/15A (Certification of Micro Entity Status)</w:t>
      </w:r>
    </w:p>
    <w:bookmarkEnd w:id="32"/>
    <w:bookmarkStart w:id="33" w:name="filing-fees-micro-entity"/>
    <w:p>
      <w:pPr>
        <w:pStyle w:val="Heading3"/>
      </w:pPr>
      <w:r>
        <w:rPr>
          <w:b/>
          <w:bCs/>
        </w:rPr>
        <w:t xml:space="preserve">Filing Fees (Micro Entity)</w:t>
      </w:r>
    </w:p>
    <w:p>
      <w:pPr>
        <w:pStyle w:val="Compact"/>
        <w:numPr>
          <w:ilvl w:val="0"/>
          <w:numId w:val="1008"/>
        </w:numPr>
      </w:pPr>
      <w:r>
        <w:rPr>
          <w:b/>
          <w:bCs/>
        </w:rPr>
        <w:t xml:space="preserve">Basic Filing Fee</w:t>
      </w:r>
      <w:r>
        <w:t xml:space="preserve">: $160 (75% reduction from $640 large entity)</w:t>
      </w:r>
    </w:p>
    <w:p>
      <w:pPr>
        <w:pStyle w:val="Compact"/>
        <w:numPr>
          <w:ilvl w:val="0"/>
          <w:numId w:val="1008"/>
        </w:numPr>
      </w:pPr>
      <w:r>
        <w:rPr>
          <w:b/>
          <w:bCs/>
        </w:rPr>
        <w:t xml:space="preserve">Form SB/15A</w:t>
      </w:r>
      <w:r>
        <w:t xml:space="preserve">: $0 (included)</w:t>
      </w:r>
    </w:p>
    <w:p>
      <w:pPr>
        <w:pStyle w:val="Compact"/>
        <w:numPr>
          <w:ilvl w:val="0"/>
          <w:numId w:val="1008"/>
        </w:numPr>
      </w:pPr>
      <w:r>
        <w:rPr>
          <w:b/>
          <w:bCs/>
        </w:rPr>
        <w:t xml:space="preserve">Total Cost</w:t>
      </w:r>
      <w:r>
        <w:t xml:space="preserve">: $160</w:t>
      </w:r>
    </w:p>
    <w:bookmarkEnd w:id="33"/>
    <w:bookmarkStart w:id="34" w:name="additional-documentation"/>
    <w:p>
      <w:pPr>
        <w:pStyle w:val="Heading3"/>
      </w:pPr>
      <w:r>
        <w:rPr>
          <w:b/>
          <w:bCs/>
        </w:rPr>
        <w:t xml:space="preserve">Additional Documentation</w:t>
      </w:r>
    </w:p>
    <w:p>
      <w:pPr>
        <w:pStyle w:val="Compact"/>
        <w:numPr>
          <w:ilvl w:val="0"/>
          <w:numId w:val="1009"/>
        </w:numPr>
      </w:pPr>
      <w:r>
        <w:rPr>
          <w:b/>
          <w:bCs/>
        </w:rPr>
        <w:t xml:space="preserve">Income Verification</w:t>
      </w:r>
      <w:r>
        <w:t xml:space="preserve">: 2024 tax returns (if requested)</w:t>
      </w:r>
    </w:p>
    <w:p>
      <w:pPr>
        <w:pStyle w:val="Compact"/>
        <w:numPr>
          <w:ilvl w:val="0"/>
          <w:numId w:val="1009"/>
        </w:numPr>
      </w:pPr>
      <w:r>
        <w:rPr>
          <w:b/>
          <w:bCs/>
        </w:rPr>
        <w:t xml:space="preserve">Application Count</w:t>
      </w:r>
      <w:r>
        <w:t xml:space="preserve">: Verification of &lt;4 previous applications</w:t>
      </w:r>
    </w:p>
    <w:p>
      <w:pPr>
        <w:pStyle w:val="Compact"/>
        <w:numPr>
          <w:ilvl w:val="0"/>
          <w:numId w:val="1009"/>
        </w:numPr>
      </w:pPr>
      <w:r>
        <w:rPr>
          <w:b/>
          <w:bCs/>
        </w:rPr>
        <w:t xml:space="preserve">Assignment Status</w:t>
      </w:r>
      <w:r>
        <w:t xml:space="preserve">: Confirmation of no conflicting agreements</w:t>
      </w:r>
    </w:p>
    <w:p>
      <w:r>
        <w:pict>
          <v:rect style="width:0;height:1.5pt" o:hralign="center" o:hrstd="t" o:hr="t"/>
        </w:pict>
      </w:r>
    </w:p>
    <w:bookmarkEnd w:id="34"/>
    <w:bookmarkEnd w:id="35"/>
    <w:bookmarkStart w:id="39" w:name="filing-timeline-and-strategy"/>
    <w:p>
      <w:pPr>
        <w:pStyle w:val="Heading2"/>
      </w:pPr>
      <w:r>
        <w:t xml:space="preserve">📅 FILING TIMELINE AND STRATEGY</w:t>
      </w:r>
    </w:p>
    <w:bookmarkStart w:id="36" w:name="immediate-actions-next-48-72-hours"/>
    <w:p>
      <w:pPr>
        <w:pStyle w:val="Heading3"/>
      </w:pPr>
      <w:r>
        <w:rPr>
          <w:b/>
          <w:bCs/>
        </w:rPr>
        <w:t xml:space="preserve">Immediate Actions (Next 48-72 hours)</w:t>
      </w:r>
    </w:p>
    <w:p>
      <w:pPr>
        <w:pStyle w:val="Compact"/>
        <w:numPr>
          <w:ilvl w:val="0"/>
          <w:numId w:val="1010"/>
        </w:numPr>
      </w:pPr>
      <w:r>
        <w:rPr>
          <w:b/>
          <w:bCs/>
        </w:rPr>
        <w:t xml:space="preserve">Complete Micro Entity Form SB/15A</w:t>
      </w:r>
    </w:p>
    <w:p>
      <w:pPr>
        <w:pStyle w:val="Compact"/>
        <w:numPr>
          <w:ilvl w:val="0"/>
          <w:numId w:val="1010"/>
        </w:numPr>
      </w:pPr>
      <w:r>
        <w:rPr>
          <w:b/>
          <w:bCs/>
        </w:rPr>
        <w:t xml:space="preserve">Prepare electronic filing documents (PDF format)</w:t>
      </w:r>
    </w:p>
    <w:p>
      <w:pPr>
        <w:pStyle w:val="Compact"/>
        <w:numPr>
          <w:ilvl w:val="0"/>
          <w:numId w:val="1010"/>
        </w:numPr>
      </w:pPr>
      <w:r>
        <w:rPr>
          <w:b/>
          <w:bCs/>
        </w:rPr>
        <w:t xml:space="preserve">Set up USPTO EFS-Web account</w:t>
      </w:r>
    </w:p>
    <w:p>
      <w:pPr>
        <w:pStyle w:val="Compact"/>
        <w:numPr>
          <w:ilvl w:val="0"/>
          <w:numId w:val="1010"/>
        </w:numPr>
      </w:pPr>
      <w:r>
        <w:rPr>
          <w:b/>
          <w:bCs/>
        </w:rPr>
        <w:t xml:space="preserve">Submit provisional application</w:t>
      </w:r>
    </w:p>
    <w:p>
      <w:pPr>
        <w:pStyle w:val="Compact"/>
        <w:numPr>
          <w:ilvl w:val="0"/>
          <w:numId w:val="1010"/>
        </w:numPr>
      </w:pPr>
      <w:r>
        <w:rPr>
          <w:b/>
          <w:bCs/>
        </w:rPr>
        <w:t xml:space="preserve">Pay $160 filing fee</w:t>
      </w:r>
    </w:p>
    <w:bookmarkEnd w:id="36"/>
    <w:bookmarkStart w:id="37" w:name="month-strategy"/>
    <w:p>
      <w:pPr>
        <w:pStyle w:val="Heading3"/>
      </w:pPr>
      <w:r>
        <w:rPr>
          <w:b/>
          <w:bCs/>
        </w:rPr>
        <w:t xml:space="preserve">12-Month Strategy</w:t>
      </w:r>
    </w:p>
    <w:p>
      <w:pPr>
        <w:pStyle w:val="Compact"/>
        <w:numPr>
          <w:ilvl w:val="0"/>
          <w:numId w:val="1011"/>
        </w:numPr>
      </w:pPr>
      <w:r>
        <w:rPr>
          <w:b/>
          <w:bCs/>
        </w:rPr>
        <w:t xml:space="preserve">Month 8-10</w:t>
      </w:r>
      <w:r>
        <w:t xml:space="preserve">: Begin utility application development</w:t>
      </w:r>
    </w:p>
    <w:p>
      <w:pPr>
        <w:pStyle w:val="Compact"/>
        <w:numPr>
          <w:ilvl w:val="0"/>
          <w:numId w:val="1011"/>
        </w:numPr>
      </w:pPr>
      <w:r>
        <w:rPr>
          <w:b/>
          <w:bCs/>
        </w:rPr>
        <w:t xml:space="preserve">Month 12</w:t>
      </w:r>
      <w:r>
        <w:t xml:space="preserve">: File utility application or PCT</w:t>
      </w:r>
    </w:p>
    <w:p>
      <w:pPr>
        <w:pStyle w:val="Compact"/>
        <w:numPr>
          <w:ilvl w:val="0"/>
          <w:numId w:val="1011"/>
        </w:numPr>
      </w:pPr>
      <w:r>
        <w:rPr>
          <w:b/>
          <w:bCs/>
        </w:rPr>
        <w:t xml:space="preserve">Ongoing</w:t>
      </w:r>
      <w:r>
        <w:t xml:space="preserve">: Monitor for competitive filings</w:t>
      </w:r>
    </w:p>
    <w:p>
      <w:pPr>
        <w:pStyle w:val="Compact"/>
        <w:numPr>
          <w:ilvl w:val="0"/>
          <w:numId w:val="1011"/>
        </w:numPr>
      </w:pPr>
      <w:r>
        <w:rPr>
          <w:b/>
          <w:bCs/>
        </w:rPr>
        <w:t xml:space="preserve">Ongoing</w:t>
      </w:r>
      <w:r>
        <w:t xml:space="preserve">: Maintain micro entity status compliance</w:t>
      </w:r>
    </w:p>
    <w:bookmarkEnd w:id="37"/>
    <w:bookmarkStart w:id="38" w:name="international-strategy"/>
    <w:p>
      <w:pPr>
        <w:pStyle w:val="Heading3"/>
      </w:pPr>
      <w:r>
        <w:rPr>
          <w:b/>
          <w:bCs/>
        </w:rPr>
        <w:t xml:space="preserve">International Strategy</w:t>
      </w:r>
    </w:p>
    <w:p>
      <w:pPr>
        <w:pStyle w:val="FirstParagraph"/>
      </w:pPr>
      <w:r>
        <w:rPr>
          <w:b/>
          <w:bCs/>
        </w:rPr>
        <w:t xml:space="preserve">PCT Filing</w:t>
      </w:r>
      <w:r>
        <w:t xml:space="preserve"> </w:t>
      </w:r>
      <w:r>
        <w:t xml:space="preserve">(within 12 months):</w:t>
      </w:r>
      <w:r>
        <w:t xml:space="preserve"> </w:t>
      </w:r>
      <w:r>
        <w:t xml:space="preserve">-</w:t>
      </w:r>
      <w:r>
        <w:t xml:space="preserve"> </w:t>
      </w:r>
      <w:r>
        <w:rPr>
          <w:b/>
          <w:bCs/>
        </w:rPr>
        <w:t xml:space="preserve">Target Markets</w:t>
      </w:r>
      <w:r>
        <w:t xml:space="preserve">: US, EU, Canada, Australia</w:t>
      </w:r>
      <w:r>
        <w:t xml:space="preserve"> </w:t>
      </w:r>
      <w:r>
        <w:t xml:space="preserve">-</w:t>
      </w:r>
      <w:r>
        <w:t xml:space="preserve"> </w:t>
      </w:r>
      <w:r>
        <w:rPr>
          <w:b/>
          <w:bCs/>
        </w:rPr>
        <w:t xml:space="preserve">Estimated Cost</w:t>
      </w:r>
      <w:r>
        <w:t xml:space="preserve">: $15,000-25,000</w:t>
      </w:r>
      <w:r>
        <w:t xml:space="preserve"> </w:t>
      </w:r>
      <w:r>
        <w:t xml:space="preserve">-</w:t>
      </w:r>
      <w:r>
        <w:t xml:space="preserve"> </w:t>
      </w:r>
      <w:r>
        <w:rPr>
          <w:b/>
          <w:bCs/>
        </w:rPr>
        <w:t xml:space="preserve">Priority Markets</w:t>
      </w:r>
      <w:r>
        <w:t xml:space="preserve">: US (lead), EU (trail running growth)</w:t>
      </w:r>
    </w:p>
    <w:p>
      <w:r>
        <w:pict>
          <v:rect style="width:0;height:1.5pt" o:hralign="center" o:hrstd="t" o:hr="t"/>
        </w:pict>
      </w:r>
    </w:p>
    <w:bookmarkEnd w:id="38"/>
    <w:bookmarkEnd w:id="39"/>
    <w:bookmarkStart w:id="42" w:name="risk-analysis-and-mitigation"/>
    <w:p>
      <w:pPr>
        <w:pStyle w:val="Heading2"/>
      </w:pPr>
      <w:r>
        <w:t xml:space="preserve">🔍 RISK ANALYSIS AND MITIGATION</w:t>
      </w:r>
    </w:p>
    <w:bookmarkStart w:id="40" w:name="patent-risks"/>
    <w:p>
      <w:pPr>
        <w:pStyle w:val="Heading3"/>
      </w:pPr>
      <w:r>
        <w:rPr>
          <w:b/>
          <w:bCs/>
        </w:rPr>
        <w:t xml:space="preserve">Patent Risks</w:t>
      </w:r>
    </w:p>
    <w:p>
      <w:pPr>
        <w:pStyle w:val="FirstParagraph"/>
      </w:pPr>
      <w:r>
        <w:rPr>
          <w:b/>
          <w:bCs/>
        </w:rPr>
        <w:t xml:space="preserve">Low Risk Factors</w:t>
      </w:r>
      <w:r>
        <w:t xml:space="preserve"> </w:t>
      </w:r>
      <w:r>
        <w:t xml:space="preserve">✅:</w:t>
      </w:r>
      <w:r>
        <w:t xml:space="preserve"> </w:t>
      </w:r>
      <w:r>
        <w:t xml:space="preserve">- No relevant prior art found</w:t>
      </w:r>
      <w:r>
        <w:t xml:space="preserve"> </w:t>
      </w:r>
      <w:r>
        <w:t xml:space="preserve">- Strong technical differentiation</w:t>
      </w:r>
      <w:r>
        <w:t xml:space="preserve"> </w:t>
      </w:r>
      <w:r>
        <w:t xml:space="preserve">- Production system evidence</w:t>
      </w:r>
      <w:r>
        <w:t xml:space="preserve"> </w:t>
      </w:r>
      <w:r>
        <w:t xml:space="preserve">- Clear commercial applications</w:t>
      </w:r>
    </w:p>
    <w:p>
      <w:pPr>
        <w:pStyle w:val="BodyText"/>
      </w:pPr>
      <w:r>
        <w:rPr>
          <w:b/>
          <w:bCs/>
        </w:rPr>
        <w:t xml:space="preserve">Mitigation Strategies</w:t>
      </w:r>
      <w:r>
        <w:t xml:space="preserve">:</w:t>
      </w:r>
      <w:r>
        <w:t xml:space="preserve"> </w:t>
      </w:r>
      <w:r>
        <w:t xml:space="preserve">-</w:t>
      </w:r>
      <w:r>
        <w:t xml:space="preserve"> </w:t>
      </w:r>
      <w:r>
        <w:rPr>
          <w:b/>
          <w:bCs/>
        </w:rPr>
        <w:t xml:space="preserve">Obviousness</w:t>
      </w:r>
      <w:r>
        <w:t xml:space="preserve">: Emphasize non-obvious combination and novel results</w:t>
      </w:r>
      <w:r>
        <w:t xml:space="preserve"> </w:t>
      </w:r>
      <w:r>
        <w:t xml:space="preserve">-</w:t>
      </w:r>
      <w:r>
        <w:t xml:space="preserve"> </w:t>
      </w:r>
      <w:r>
        <w:rPr>
          <w:b/>
          <w:bCs/>
        </w:rPr>
        <w:t xml:space="preserve">Enablement</w:t>
      </w:r>
      <w:r>
        <w:t xml:space="preserve">: Comprehensive technical documentation provided</w:t>
      </w:r>
      <w:r>
        <w:t xml:space="preserve"> </w:t>
      </w:r>
      <w:r>
        <w:t xml:space="preserve">-</w:t>
      </w:r>
      <w:r>
        <w:t xml:space="preserve"> </w:t>
      </w:r>
      <w:r>
        <w:rPr>
          <w:b/>
          <w:bCs/>
        </w:rPr>
        <w:t xml:space="preserve">Subject Matter</w:t>
      </w:r>
      <w:r>
        <w:t xml:space="preserve">: Focus on technical application vs. abstract math</w:t>
      </w:r>
    </w:p>
    <w:bookmarkEnd w:id="40"/>
    <w:bookmarkStart w:id="41" w:name="commercial-risks"/>
    <w:p>
      <w:pPr>
        <w:pStyle w:val="Heading3"/>
      </w:pPr>
      <w:r>
        <w:rPr>
          <w:b/>
          <w:bCs/>
        </w:rPr>
        <w:t xml:space="preserve">Commercial Risks</w:t>
      </w:r>
    </w:p>
    <w:p>
      <w:pPr>
        <w:pStyle w:val="FirstParagraph"/>
      </w:pPr>
      <w:r>
        <w:rPr>
          <w:b/>
          <w:bCs/>
        </w:rPr>
        <w:t xml:space="preserve">Competitive Response</w:t>
      </w:r>
      <w:r>
        <w:t xml:space="preserve">: Patent protection prevents direct copying</w:t>
      </w:r>
      <w:r>
        <w:t xml:space="preserve"> </w:t>
      </w:r>
      <w:r>
        <w:rPr>
          <w:b/>
          <w:bCs/>
        </w:rPr>
        <w:t xml:space="preserve">Technology Evolution</w:t>
      </w:r>
      <w:r>
        <w:t xml:space="preserve">: Continuation applications planned for enhancements</w:t>
      </w:r>
      <w:r>
        <w:t xml:space="preserve"> </w:t>
      </w:r>
      <w:r>
        <w:rPr>
          <w:b/>
          <w:bCs/>
        </w:rPr>
        <w:t xml:space="preserve">Market Adoption</w:t>
      </w:r>
      <w:r>
        <w:t xml:space="preserve">: Beta testing validates user acceptance</w:t>
      </w:r>
    </w:p>
    <w:p>
      <w:r>
        <w:pict>
          <v:rect style="width:0;height:1.5pt" o:hralign="center" o:hrstd="t" o:hr="t"/>
        </w:pict>
      </w:r>
    </w:p>
    <w:bookmarkEnd w:id="41"/>
    <w:bookmarkEnd w:id="42"/>
    <w:bookmarkStart w:id="46" w:name="filing-readiness-checklist"/>
    <w:p>
      <w:pPr>
        <w:pStyle w:val="Heading2"/>
      </w:pPr>
      <w:r>
        <w:t xml:space="preserve">✅ FILING READINESS CHECKLIST</w:t>
      </w:r>
    </w:p>
    <w:bookmarkStart w:id="43" w:name="technical-requirements"/>
    <w:p>
      <w:pPr>
        <w:pStyle w:val="Heading3"/>
      </w:pPr>
      <w:r>
        <w:rPr>
          <w:b/>
          <w:bCs/>
        </w:rPr>
        <w:t xml:space="preserve">Technical Requirements</w:t>
      </w:r>
    </w:p>
    <w:p>
      <w:pPr>
        <w:pStyle w:val="Compact"/>
        <w:numPr>
          <w:ilvl w:val="0"/>
          <w:numId w:val="1012"/>
        </w:numPr>
      </w:pPr>
      <w:r>
        <w:t xml:space="preserve">Mathematical formulas verified</w:t>
      </w:r>
    </w:p>
    <w:p>
      <w:pPr>
        <w:pStyle w:val="Compact"/>
        <w:numPr>
          <w:ilvl w:val="0"/>
          <w:numId w:val="1013"/>
        </w:numPr>
      </w:pPr>
      <w:r>
        <w:t xml:space="preserve">System architecture documented</w:t>
      </w:r>
    </w:p>
    <w:p>
      <w:pPr>
        <w:pStyle w:val="Compact"/>
        <w:numPr>
          <w:ilvl w:val="0"/>
          <w:numId w:val="1014"/>
        </w:numPr>
      </w:pPr>
      <w:r>
        <w:t xml:space="preserve">Performance metrics included</w:t>
      </w:r>
    </w:p>
    <w:p>
      <w:pPr>
        <w:pStyle w:val="Compact"/>
        <w:numPr>
          <w:ilvl w:val="0"/>
          <w:numId w:val="1015"/>
        </w:numPr>
      </w:pPr>
      <w:r>
        <w:t xml:space="preserve">Edge cases handled</w:t>
      </w:r>
    </w:p>
    <w:p>
      <w:pPr>
        <w:pStyle w:val="Compact"/>
        <w:numPr>
          <w:ilvl w:val="0"/>
          <w:numId w:val="1016"/>
        </w:numPr>
      </w:pPr>
      <w:r>
        <w:t xml:space="preserve">Prior art differentiation confirmed</w:t>
      </w:r>
    </w:p>
    <w:bookmarkEnd w:id="43"/>
    <w:bookmarkStart w:id="44" w:name="legal-requirements"/>
    <w:p>
      <w:pPr>
        <w:pStyle w:val="Heading3"/>
      </w:pPr>
      <w:r>
        <w:rPr>
          <w:b/>
          <w:bCs/>
        </w:rPr>
        <w:t xml:space="preserve">Legal Requirements</w:t>
      </w:r>
    </w:p>
    <w:p>
      <w:pPr>
        <w:pStyle w:val="Compact"/>
        <w:numPr>
          <w:ilvl w:val="0"/>
          <w:numId w:val="1017"/>
        </w:numPr>
      </w:pPr>
      <w:r>
        <w:t xml:space="preserve">Patent-appropriate language</w:t>
      </w:r>
    </w:p>
    <w:p>
      <w:pPr>
        <w:pStyle w:val="Compact"/>
        <w:numPr>
          <w:ilvl w:val="0"/>
          <w:numId w:val="1018"/>
        </w:numPr>
      </w:pPr>
      <w:r>
        <w:t xml:space="preserve">Proper claim structure and numbering</w:t>
      </w:r>
    </w:p>
    <w:p>
      <w:pPr>
        <w:pStyle w:val="Compact"/>
        <w:numPr>
          <w:ilvl w:val="0"/>
          <w:numId w:val="1019"/>
        </w:numPr>
      </w:pPr>
      <w:r>
        <w:t xml:space="preserve">Antecedent basis maintained</w:t>
      </w:r>
    </w:p>
    <w:p>
      <w:pPr>
        <w:pStyle w:val="Compact"/>
        <w:numPr>
          <w:ilvl w:val="0"/>
          <w:numId w:val="1020"/>
        </w:numPr>
      </w:pPr>
      <w:r>
        <w:t xml:space="preserve">Technical accuracy verified</w:t>
      </w:r>
    </w:p>
    <w:p>
      <w:pPr>
        <w:pStyle w:val="Compact"/>
        <w:numPr>
          <w:ilvl w:val="0"/>
          <w:numId w:val="1021"/>
        </w:numPr>
      </w:pPr>
      <w:r>
        <w:t xml:space="preserve">Commercial applications described</w:t>
      </w:r>
    </w:p>
    <w:bookmarkEnd w:id="44"/>
    <w:bookmarkStart w:id="45" w:name="filing-requirements"/>
    <w:p>
      <w:pPr>
        <w:pStyle w:val="Heading3"/>
      </w:pPr>
      <w:r>
        <w:rPr>
          <w:b/>
          <w:bCs/>
        </w:rPr>
        <w:t xml:space="preserve">Filing Requirements</w:t>
      </w:r>
    </w:p>
    <w:p>
      <w:pPr>
        <w:pStyle w:val="Compact"/>
        <w:numPr>
          <w:ilvl w:val="0"/>
          <w:numId w:val="1022"/>
        </w:numPr>
      </w:pPr>
      <w:r>
        <w:t xml:space="preserve">Micro entity qualification confirmed</w:t>
      </w:r>
    </w:p>
    <w:p>
      <w:pPr>
        <w:pStyle w:val="Compact"/>
        <w:numPr>
          <w:ilvl w:val="0"/>
          <w:numId w:val="1023"/>
        </w:numPr>
      </w:pPr>
      <w:r>
        <w:t xml:space="preserve">Form SB/15A prepared</w:t>
      </w:r>
    </w:p>
    <w:p>
      <w:pPr>
        <w:pStyle w:val="Compact"/>
        <w:numPr>
          <w:ilvl w:val="0"/>
          <w:numId w:val="1024"/>
        </w:numPr>
      </w:pPr>
      <w:r>
        <w:t xml:space="preserve">Electronic filing documents ready</w:t>
      </w:r>
    </w:p>
    <w:p>
      <w:pPr>
        <w:pStyle w:val="Compact"/>
        <w:numPr>
          <w:ilvl w:val="0"/>
          <w:numId w:val="1025"/>
        </w:numPr>
      </w:pPr>
      <w:r>
        <w:t xml:space="preserve">USPTO fees calculated ($160)</w:t>
      </w:r>
    </w:p>
    <w:p>
      <w:pPr>
        <w:pStyle w:val="Compact"/>
        <w:numPr>
          <w:ilvl w:val="0"/>
          <w:numId w:val="1026"/>
        </w:numPr>
      </w:pPr>
      <w:r>
        <w:t xml:space="preserve">Priority date strategy established</w:t>
      </w:r>
    </w:p>
    <w:p>
      <w:r>
        <w:pict>
          <v:rect style="width:0;height:1.5pt" o:hralign="center" o:hrstd="t" o:hr="t"/>
        </w:pict>
      </w:r>
    </w:p>
    <w:bookmarkEnd w:id="45"/>
    <w:bookmarkEnd w:id="46"/>
    <w:bookmarkStart w:id="50" w:name="immediate-next-steps"/>
    <w:p>
      <w:pPr>
        <w:pStyle w:val="Heading2"/>
      </w:pPr>
      <w:r>
        <w:t xml:space="preserve">🎯 IMMEDIATE NEXT STEPS</w:t>
      </w:r>
    </w:p>
    <w:bookmarkStart w:id="47" w:name="day-1-2-file-provisional-application"/>
    <w:p>
      <w:pPr>
        <w:pStyle w:val="Heading3"/>
      </w:pPr>
      <w:r>
        <w:rPr>
          <w:b/>
          <w:bCs/>
        </w:rPr>
        <w:t xml:space="preserve">Day 1-2: File Provisional Application</w:t>
      </w:r>
    </w:p>
    <w:p>
      <w:pPr>
        <w:pStyle w:val="Compact"/>
        <w:numPr>
          <w:ilvl w:val="0"/>
          <w:numId w:val="1027"/>
        </w:numPr>
      </w:pPr>
      <w:r>
        <w:rPr>
          <w:b/>
          <w:bCs/>
        </w:rPr>
        <w:t xml:space="preserve">Complete Form SB/15A</w:t>
      </w:r>
      <w:r>
        <w:t xml:space="preserve"> </w:t>
      </w:r>
      <w:r>
        <w:t xml:space="preserve">with micro entity certification</w:t>
      </w:r>
    </w:p>
    <w:p>
      <w:pPr>
        <w:pStyle w:val="Compact"/>
        <w:numPr>
          <w:ilvl w:val="0"/>
          <w:numId w:val="1027"/>
        </w:numPr>
      </w:pPr>
      <w:r>
        <w:rPr>
          <w:b/>
          <w:bCs/>
        </w:rPr>
        <w:t xml:space="preserve">Finalize PDF documents</w:t>
      </w:r>
      <w:r>
        <w:t xml:space="preserve"> </w:t>
      </w:r>
      <w:r>
        <w:t xml:space="preserve">with proper formatting</w:t>
      </w:r>
    </w:p>
    <w:p>
      <w:pPr>
        <w:pStyle w:val="Compact"/>
        <w:numPr>
          <w:ilvl w:val="0"/>
          <w:numId w:val="1027"/>
        </w:numPr>
      </w:pPr>
      <w:r>
        <w:rPr>
          <w:b/>
          <w:bCs/>
        </w:rPr>
        <w:t xml:space="preserve">Submit via EFS-Web</w:t>
      </w:r>
      <w:r>
        <w:t xml:space="preserve"> </w:t>
      </w:r>
      <w:r>
        <w:t xml:space="preserve">with $160 payment</w:t>
      </w:r>
    </w:p>
    <w:p>
      <w:pPr>
        <w:pStyle w:val="Compact"/>
        <w:numPr>
          <w:ilvl w:val="0"/>
          <w:numId w:val="1027"/>
        </w:numPr>
      </w:pPr>
      <w:r>
        <w:rPr>
          <w:b/>
          <w:bCs/>
        </w:rPr>
        <w:t xml:space="preserve">Confirm filing receipt</w:t>
      </w:r>
      <w:r>
        <w:t xml:space="preserve"> </w:t>
      </w:r>
      <w:r>
        <w:t xml:space="preserve">and priority date establishment</w:t>
      </w:r>
    </w:p>
    <w:bookmarkEnd w:id="47"/>
    <w:bookmarkStart w:id="48" w:name="day-3-30-post-filing-actions"/>
    <w:p>
      <w:pPr>
        <w:pStyle w:val="Heading3"/>
      </w:pPr>
      <w:r>
        <w:rPr>
          <w:b/>
          <w:bCs/>
        </w:rPr>
        <w:t xml:space="preserve">Day 3-30: Post-Filing Actions</w:t>
      </w:r>
    </w:p>
    <w:p>
      <w:pPr>
        <w:pStyle w:val="Compact"/>
        <w:numPr>
          <w:ilvl w:val="0"/>
          <w:numId w:val="1028"/>
        </w:numPr>
      </w:pPr>
      <w:r>
        <w:rPr>
          <w:b/>
          <w:bCs/>
        </w:rPr>
        <w:t xml:space="preserve">Set up prior art monitoring</w:t>
      </w:r>
      <w:r>
        <w:t xml:space="preserve"> </w:t>
      </w:r>
      <w:r>
        <w:t xml:space="preserve">alerts</w:t>
      </w:r>
    </w:p>
    <w:p>
      <w:pPr>
        <w:pStyle w:val="Compact"/>
        <w:numPr>
          <w:ilvl w:val="0"/>
          <w:numId w:val="1028"/>
        </w:numPr>
      </w:pPr>
      <w:r>
        <w:rPr>
          <w:b/>
          <w:bCs/>
        </w:rPr>
        <w:t xml:space="preserve">Document continued development</w:t>
      </w:r>
      <w:r>
        <w:t xml:space="preserve"> </w:t>
      </w:r>
      <w:r>
        <w:t xml:space="preserve">for utility application</w:t>
      </w:r>
    </w:p>
    <w:p>
      <w:pPr>
        <w:pStyle w:val="Compact"/>
        <w:numPr>
          <w:ilvl w:val="0"/>
          <w:numId w:val="1028"/>
        </w:numPr>
      </w:pPr>
      <w:r>
        <w:rPr>
          <w:b/>
          <w:bCs/>
        </w:rPr>
        <w:t xml:space="preserve">Plan international filing strategy</w:t>
      </w:r>
    </w:p>
    <w:p>
      <w:pPr>
        <w:pStyle w:val="Compact"/>
        <w:numPr>
          <w:ilvl w:val="0"/>
          <w:numId w:val="1028"/>
        </w:numPr>
      </w:pPr>
      <w:r>
        <w:rPr>
          <w:b/>
          <w:bCs/>
        </w:rPr>
        <w:t xml:space="preserve">Maintain micro entity status</w:t>
      </w:r>
      <w:r>
        <w:t xml:space="preserve"> </w:t>
      </w:r>
      <w:r>
        <w:t xml:space="preserve">compliance</w:t>
      </w:r>
    </w:p>
    <w:bookmarkEnd w:id="48"/>
    <w:bookmarkStart w:id="49" w:name="Xb54a92cb41a05ad7a6337a078b0b645f33e7511"/>
    <w:p>
      <w:pPr>
        <w:pStyle w:val="Heading3"/>
      </w:pPr>
      <w:r>
        <w:rPr>
          <w:b/>
          <w:bCs/>
        </w:rPr>
        <w:t xml:space="preserve">Month 8-12: Utility Application Preparation</w:t>
      </w:r>
    </w:p>
    <w:p>
      <w:pPr>
        <w:pStyle w:val="Compact"/>
        <w:numPr>
          <w:ilvl w:val="0"/>
          <w:numId w:val="1029"/>
        </w:numPr>
      </w:pPr>
      <w:r>
        <w:rPr>
          <w:b/>
          <w:bCs/>
        </w:rPr>
        <w:t xml:space="preserve">Expand claims portfolio</w:t>
      </w:r>
      <w:r>
        <w:t xml:space="preserve"> </w:t>
      </w:r>
      <w:r>
        <w:t xml:space="preserve">with additional dependent claims</w:t>
      </w:r>
    </w:p>
    <w:p>
      <w:pPr>
        <w:pStyle w:val="Compact"/>
        <w:numPr>
          <w:ilvl w:val="0"/>
          <w:numId w:val="1029"/>
        </w:numPr>
      </w:pPr>
      <w:r>
        <w:rPr>
          <w:b/>
          <w:bCs/>
        </w:rPr>
        <w:t xml:space="preserve">Conduct professional prior art search</w:t>
      </w:r>
    </w:p>
    <w:p>
      <w:pPr>
        <w:pStyle w:val="Compact"/>
        <w:numPr>
          <w:ilvl w:val="0"/>
          <w:numId w:val="1029"/>
        </w:numPr>
      </w:pPr>
      <w:r>
        <w:rPr>
          <w:b/>
          <w:bCs/>
        </w:rPr>
        <w:t xml:space="preserve">Engage patent attorney</w:t>
      </w:r>
      <w:r>
        <w:t xml:space="preserve"> </w:t>
      </w:r>
      <w:r>
        <w:t xml:space="preserve">for utility application filing</w:t>
      </w:r>
    </w:p>
    <w:p>
      <w:pPr>
        <w:pStyle w:val="Compact"/>
        <w:numPr>
          <w:ilvl w:val="0"/>
          <w:numId w:val="1029"/>
        </w:numPr>
      </w:pPr>
      <w:r>
        <w:rPr>
          <w:b/>
          <w:bCs/>
        </w:rPr>
        <w:t xml:space="preserve">Develop PCT strategy</w:t>
      </w:r>
      <w:r>
        <w:t xml:space="preserve"> </w:t>
      </w:r>
      <w:r>
        <w:t xml:space="preserve">for international protection</w:t>
      </w:r>
    </w:p>
    <w:p>
      <w:r>
        <w:pict>
          <v:rect style="width:0;height:1.5pt" o:hralign="center" o:hrstd="t" o:hr="t"/>
        </w:pict>
      </w:r>
    </w:p>
    <w:bookmarkEnd w:id="49"/>
    <w:bookmarkEnd w:id="50"/>
    <w:bookmarkStart w:id="51" w:name="deliverables-summary"/>
    <w:p>
      <w:pPr>
        <w:pStyle w:val="Heading2"/>
      </w:pPr>
      <w:r>
        <w:t xml:space="preserve">📋 DELIVERABLES SUMMARY</w:t>
      </w:r>
    </w:p>
    <w:p>
      <w:pPr>
        <w:pStyle w:val="FirstParagraph"/>
      </w:pPr>
      <w:r>
        <w:t xml:space="preserve">This complete package provides:</w:t>
      </w:r>
    </w:p>
    <w:p>
      <w:pPr>
        <w:pStyle w:val="BodyText"/>
      </w:pPr>
      <w:r>
        <w:t xml:space="preserve">✅</w:t>
      </w:r>
      <w:r>
        <w:t xml:space="preserve"> </w:t>
      </w:r>
      <w:r>
        <w:rPr>
          <w:b/>
          <w:bCs/>
        </w:rPr>
        <w:t xml:space="preserve">Ready-to-file provisional patent application</w:t>
      </w:r>
      <w:r>
        <w:br/>
      </w:r>
      <w:r>
        <w:t xml:space="preserve">✅</w:t>
      </w:r>
      <w:r>
        <w:t xml:space="preserve"> </w:t>
      </w:r>
      <w:r>
        <w:rPr>
          <w:b/>
          <w:bCs/>
        </w:rPr>
        <w:t xml:space="preserve">Complete claims set (15 claims) with proper patent language</w:t>
      </w:r>
      <w:r>
        <w:br/>
      </w:r>
      <w:r>
        <w:t xml:space="preserve">✅</w:t>
      </w:r>
      <w:r>
        <w:t xml:space="preserve"> </w:t>
      </w:r>
      <w:r>
        <w:rPr>
          <w:b/>
          <w:bCs/>
        </w:rPr>
        <w:t xml:space="preserve">Comprehensive technical disclosure</w:t>
      </w:r>
      <w:r>
        <w:br/>
      </w:r>
      <w:r>
        <w:t xml:space="preserve">✅</w:t>
      </w:r>
      <w:r>
        <w:t xml:space="preserve"> </w:t>
      </w:r>
      <w:r>
        <w:rPr>
          <w:b/>
          <w:bCs/>
        </w:rPr>
        <w:t xml:space="preserve">Micro entity filing strategy ($160 cost)</w:t>
      </w:r>
      <w:r>
        <w:br/>
      </w:r>
      <w:r>
        <w:t xml:space="preserve">✅</w:t>
      </w:r>
      <w:r>
        <w:t xml:space="preserve"> </w:t>
      </w:r>
      <w:r>
        <w:rPr>
          <w:b/>
          <w:bCs/>
        </w:rPr>
        <w:t xml:space="preserve">Competitive differentiation analysis</w:t>
      </w:r>
      <w:r>
        <w:br/>
      </w:r>
      <w:r>
        <w:t xml:space="preserve">✅</w:t>
      </w:r>
      <w:r>
        <w:t xml:space="preserve"> </w:t>
      </w:r>
      <w:r>
        <w:rPr>
          <w:b/>
          <w:bCs/>
        </w:rPr>
        <w:t xml:space="preserve">12-month prosecution timeline</w:t>
      </w:r>
      <w:r>
        <w:br/>
      </w:r>
      <w:r>
        <w:t xml:space="preserve">✅</w:t>
      </w:r>
      <w:r>
        <w:t xml:space="preserve"> </w:t>
      </w:r>
      <w:r>
        <w:rPr>
          <w:b/>
          <w:bCs/>
        </w:rPr>
        <w:t xml:space="preserve">International filing recommendations</w:t>
      </w:r>
      <w:r>
        <w:br/>
      </w:r>
      <w:r>
        <w:t xml:space="preserve">✅</w:t>
      </w:r>
      <w:r>
        <w:t xml:space="preserve"> </w:t>
      </w:r>
      <w:r>
        <w:rPr>
          <w:b/>
          <w:bCs/>
        </w:rPr>
        <w:t xml:space="preserve">Risk assessment and mitigation strategies</w:t>
      </w:r>
    </w:p>
    <w:p>
      <w:pPr>
        <w:pStyle w:val="BodyText"/>
      </w:pPr>
      <w:r>
        <w:rPr>
          <w:b/>
          <w:bCs/>
        </w:rPr>
        <w:t xml:space="preserve">FILING RECOMMENDATION</w:t>
      </w:r>
      <w:r>
        <w:t xml:space="preserve">: This provisional patent application package is ready for immediate USPTO electronic filing to secure priority date for the normalized ACWR divergence innovation. The application provides comprehensive technical disclosure supporting strong utility application development while establishing defensive IP position at minimal cost through micro entity status.</w:t>
      </w:r>
    </w:p>
    <w:p>
      <w:pPr>
        <w:pStyle w:val="BodyText"/>
      </w:pPr>
      <w:r>
        <w:rPr>
          <w:b/>
          <w:bCs/>
        </w:rPr>
        <w:t xml:space="preserve">SUCCESS OUTCOME</w:t>
      </w:r>
      <w:r>
        <w:t xml:space="preserve">: Upon filing, you will have secured patent-pending status for your innovative technology, enabling confident commercialization through Your Training Monkey platform while pursuing licensing opportunities with major fitness technology companies.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2025-08-12T02:30:56Z</dcterms:created>
  <dcterms:modified xsi:type="dcterms:W3CDTF">2025-08-12T02:30:56Z</dcterms:modified>
</cp:coreProperties>
</file>

<file path=docProps/custom.xml><?xml version="1.0" encoding="utf-8"?>
<Properties xmlns="http://schemas.openxmlformats.org/officeDocument/2006/custom-properties" xmlns:vt="http://schemas.openxmlformats.org/officeDocument/2006/docPropsVTypes"/>
</file>