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0FD1E96E" w:rsidP="77F39090" w:rsidRDefault="0FD1E96E" w14:paraId="5A22E263" w14:textId="15D4C5A7">
      <w:pPr>
        <w:spacing w:before="0" w:beforeAutospacing="off" w:after="0" w:afterAutospacing="off" w:line="480" w:lineRule="auto"/>
        <w:contextualSpacing w:val="1"/>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7F39090" w:rsidR="0FD1E96E">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Project 3 Final Report</w:t>
      </w:r>
    </w:p>
    <w:p w:rsidR="0FD1E96E" w:rsidP="77F39090" w:rsidRDefault="0FD1E96E" w14:paraId="497D3A3F" w14:textId="0B82624E">
      <w:pPr>
        <w:spacing w:before="0" w:beforeAutospacing="off" w:after="0" w:afterAutospacing="off" w:line="480" w:lineRule="auto"/>
        <w:contextualSpacing w:val="1"/>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7F39090" w:rsidR="0FD1E9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Analyst: Kayla Robledo</w:t>
      </w:r>
    </w:p>
    <w:p w:rsidR="0FD1E96E" w:rsidP="77F39090" w:rsidRDefault="0FD1E96E" w14:paraId="124C7157" w14:textId="2145F697">
      <w:pPr>
        <w:pStyle w:val="Normal"/>
        <w:spacing w:before="0" w:beforeAutospacing="off" w:after="0" w:afterAutospacing="off" w:line="480" w:lineRule="auto"/>
        <w:contextualSpacing w:val="1"/>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7F39090" w:rsidR="0FD1E9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Investigator: Elizabeth Wynn, PhD</w:t>
      </w:r>
    </w:p>
    <w:p w:rsidR="0FD1E96E" w:rsidP="77F39090" w:rsidRDefault="0FD1E96E" w14:paraId="43C98F18" w14:textId="3C3769AB">
      <w:pPr>
        <w:spacing w:before="0" w:beforeAutospacing="off" w:after="0" w:afterAutospacing="off" w:line="480" w:lineRule="auto"/>
        <w:contextualSpacing w:val="1"/>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7F39090" w:rsidR="0FD1E96E">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1 Introduction</w:t>
      </w:r>
    </w:p>
    <w:p w:rsidR="0FD1E96E" w:rsidP="77F39090" w:rsidRDefault="0FD1E96E" w14:paraId="2F18866A" w14:textId="65F69C83">
      <w:pPr>
        <w:spacing w:before="0" w:beforeAutospacing="off" w:after="0" w:afterAutospacing="off" w:line="480" w:lineRule="auto"/>
        <w:ind w:firstLine="72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7F39090" w:rsidR="0FD1E9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Data for this project come from the Framingham Heart Study, a long-term prospective cohort study of cardiovascular disease in Framingham, Massachusetts that began in 1948 with follow-up examinations every two years. The original cohort included 5,209 participants. This analysis uses a subset of 4,434 individuals with data collected every six years from 1956 to 1968, yielding three periods and up to 24 years of follow-up. Primary outcomes include cardiovascular risk factors and cardiovascular events, including stroke.</w:t>
      </w:r>
    </w:p>
    <w:p w:rsidR="0FD1E96E" w:rsidP="77F39090" w:rsidRDefault="0FD1E96E" w14:paraId="12094A49" w14:textId="7C778482">
      <w:pPr>
        <w:spacing w:before="0" w:beforeAutospacing="off" w:after="0" w:afterAutospacing="off" w:line="480" w:lineRule="auto"/>
        <w:ind w:firstLine="72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7F39090" w:rsidR="0FD1E9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This report addresses two research </w:t>
      </w:r>
      <w:r w:rsidRPr="77F39090" w:rsidR="0FD1E9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objectives</w:t>
      </w:r>
      <w:r w:rsidRPr="77F39090" w:rsidR="0FD1E9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primary </w:t>
      </w:r>
      <w:r w:rsidRPr="77F39090" w:rsidR="0FD1E9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objective</w:t>
      </w:r>
      <w:r w:rsidRPr="77F39090" w:rsidR="0FD1E9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is to </w:t>
      </w:r>
      <w:r w:rsidRPr="77F39090" w:rsidR="0FD1E9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identify</w:t>
      </w:r>
      <w:r w:rsidRPr="77F39090" w:rsidR="0FD1E9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baseline risk factors associated with stroke and to estimate 10</w:t>
      </w:r>
      <w:r>
        <w:noBreakHyphen/>
      </w:r>
      <w:r w:rsidRPr="77F39090" w:rsidR="0FD1E9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year stroke risk across selected risk profiles, stratified by sex. </w:t>
      </w:r>
      <w:r w:rsidRPr="77F39090" w:rsidR="57228F7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risk profiles of interest are ind</w:t>
      </w:r>
      <w:r w:rsidRPr="77F39090" w:rsidR="51CCBA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ividuals who are</w:t>
      </w:r>
      <w:r w:rsidRPr="77F39090" w:rsidR="57228F7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health</w:t>
      </w:r>
      <w:r w:rsidRPr="77F39090" w:rsidR="4A90188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y</w:t>
      </w:r>
      <w:r w:rsidRPr="77F39090" w:rsidR="57228F7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77F39090" w:rsidR="780CFBD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have </w:t>
      </w:r>
      <w:r w:rsidRPr="77F39090" w:rsidR="57228F7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high systolic blood pressure (≥</w:t>
      </w:r>
      <w:r w:rsidRPr="77F39090" w:rsidR="57228F7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160 mm</w:t>
      </w:r>
      <w:r w:rsidRPr="77F39090" w:rsidR="57228F7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Hg), </w:t>
      </w:r>
      <w:r w:rsidRPr="77F39090" w:rsidR="33E675C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are </w:t>
      </w:r>
      <w:r w:rsidRPr="77F39090" w:rsidR="57228F7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diabetic</w:t>
      </w:r>
      <w:r w:rsidRPr="77F39090" w:rsidR="200E17F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have high systolic blood </w:t>
      </w:r>
      <w:r w:rsidRPr="77F39090" w:rsidR="200E17F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pressure</w:t>
      </w:r>
      <w:r w:rsidRPr="77F39090" w:rsidR="200E17F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and are diabetic, </w:t>
      </w:r>
      <w:r w:rsidRPr="77F39090" w:rsidR="350E253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and an </w:t>
      </w:r>
      <w:r w:rsidRPr="77F39090" w:rsidR="350E253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additional</w:t>
      </w:r>
      <w:r w:rsidRPr="77F39090" w:rsidR="350E253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risk profile </w:t>
      </w:r>
      <w:r w:rsidRPr="77F39090" w:rsidR="350E253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determined</w:t>
      </w:r>
      <w:r w:rsidRPr="77F39090" w:rsidR="350E253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by the analyst. </w:t>
      </w:r>
      <w:r w:rsidRPr="77F39090" w:rsidR="0FD1E9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secondary </w:t>
      </w:r>
      <w:r w:rsidRPr="77F39090" w:rsidR="0FD1E9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objective</w:t>
      </w:r>
      <w:r w:rsidRPr="77F39090" w:rsidR="0FD1E9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is to </w:t>
      </w:r>
      <w:r w:rsidRPr="77F39090" w:rsidR="0FD1E9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examine how</w:t>
      </w:r>
      <w:r w:rsidRPr="77F39090" w:rsidR="0FD1E9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77F39090" w:rsidR="20B0A2E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certain</w:t>
      </w:r>
      <w:r w:rsidRPr="77F39090" w:rsidR="0FD1E9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risk factors</w:t>
      </w:r>
      <w:r w:rsidRPr="77F39090" w:rsidR="4AB6DEF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such as diabetes and high systolic blood pressure,</w:t>
      </w:r>
      <w:r w:rsidRPr="77F39090" w:rsidR="0FD1E9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change across the three examination periods and to quantify the </w:t>
      </w:r>
      <w:r w:rsidRPr="77F39090" w:rsidR="0FD1E9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magnitude</w:t>
      </w:r>
      <w:r w:rsidRPr="77F39090" w:rsidR="0FD1E9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of those changes.</w:t>
      </w:r>
    </w:p>
    <w:p w:rsidR="1E76E1BB" w:rsidP="77F39090" w:rsidRDefault="1E76E1BB" w14:paraId="18C8453B" w14:textId="1CD80137">
      <w:pPr>
        <w:spacing w:before="0" w:beforeAutospacing="off" w:after="0" w:afterAutospacing="off" w:line="480" w:lineRule="auto"/>
        <w:contextualSpacing w:val="1"/>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7F39090" w:rsidR="1E76E1BB">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2 Methods</w:t>
      </w:r>
    </w:p>
    <w:p w:rsidR="1E76E1BB" w:rsidP="77F39090" w:rsidRDefault="1E76E1BB" w14:paraId="498FC0B3" w14:textId="0DB5BB5A">
      <w:pPr>
        <w:spacing w:before="0" w:beforeAutospacing="off" w:after="0" w:afterAutospacing="off" w:line="480" w:lineRule="auto"/>
        <w:contextualSpacing w:val="1"/>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7F39090" w:rsidR="1E76E1BB">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2.1 Data Cleaning</w:t>
      </w:r>
    </w:p>
    <w:p w:rsidR="1E76E1BB" w:rsidP="77F39090" w:rsidRDefault="1E76E1BB" w14:paraId="685DD05B" w14:textId="735B1617">
      <w:pPr>
        <w:spacing w:before="0" w:beforeAutospacing="off" w:after="0" w:afterAutospacing="off" w:line="480" w:lineRule="auto"/>
        <w:ind w:firstLine="72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7F39090" w:rsidR="1E76E1B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dataset includes 4,434 individuals (11,627 observations). For the primary analysis, the sample will be restricted to period 1 to obtain baseline covariates, resulting in one observation per individual. Individuals with a history of stroke at baseline will be excluded, leaving 4,402 participants. Follow-up will be censored at 10 years (3,652.5 days), accounting for leap years. Deaths </w:t>
      </w:r>
      <w:r w:rsidRPr="77F39090" w:rsidR="1E76E1B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occurring </w:t>
      </w:r>
      <w:r w:rsidRPr="77F39090" w:rsidR="1E76E1B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before</w:t>
      </w:r>
      <w:r w:rsidRPr="77F39090" w:rsidR="1E76E1B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10 years</w:t>
      </w:r>
      <w:r w:rsidRPr="77F39090" w:rsidR="3B57D6D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77F39090" w:rsidR="3B57D6D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without</w:t>
      </w:r>
      <w:r w:rsidRPr="77F39090" w:rsidR="3B57D6D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 reported stroke</w:t>
      </w:r>
      <w:r w:rsidRPr="77F39090" w:rsidR="1E76E1B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and events occurring after 10 years will be censored accordingly.</w:t>
      </w:r>
      <w:r w:rsidRPr="77F39090" w:rsidR="477A0C9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p>
    <w:p w:rsidR="434E9959" w:rsidP="77F39090" w:rsidRDefault="434E9959" w14:paraId="495C5CBF" w14:textId="3AACB9A8">
      <w:pPr>
        <w:spacing w:before="0" w:beforeAutospacing="off" w:after="0" w:afterAutospacing="off" w:line="480" w:lineRule="auto"/>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7F39090" w:rsidR="434E9959">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2.2 Data Analysis</w:t>
      </w:r>
    </w:p>
    <w:p w:rsidR="434E9959" w:rsidP="77F39090" w:rsidRDefault="434E9959" w14:paraId="2CF45D88" w14:textId="4BC3FE59">
      <w:pPr>
        <w:spacing w:before="0" w:beforeAutospacing="off" w:after="0" w:afterAutospacing="off" w:line="480" w:lineRule="auto"/>
        <w:ind w:firstLine="72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7F39090" w:rsidR="434E995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primary outcome will be analyzed using survival analysis with Cox proportional hazards models, with stroke as the event of interest and right censoring as defined above.</w:t>
      </w:r>
      <w:r w:rsidRPr="77F39090" w:rsidR="3074EBE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Stroke time will be modeled in terms of days.</w:t>
      </w:r>
      <w:r w:rsidRPr="77F39090" w:rsidR="434E995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Separate models will be fit for males and females, adjusting for baseline age, diabetes, and systolic blood pressure. </w:t>
      </w:r>
      <w:r w:rsidRPr="77F39090" w:rsidR="79E60182">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ADD ABOUT KAPLAIN-MEIERS</w:t>
      </w:r>
    </w:p>
    <w:p w:rsidR="434E9959" w:rsidP="77F39090" w:rsidRDefault="434E9959" w14:paraId="3EA5186D" w14:textId="090E5FE8">
      <w:pPr>
        <w:spacing w:before="0" w:beforeAutospacing="off" w:after="0" w:afterAutospacing="off" w:line="480" w:lineRule="auto"/>
        <w:ind w:firstLine="72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7F39090" w:rsidR="434E995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Backwards </w:t>
      </w:r>
      <w:r w:rsidRPr="77F39090" w:rsidR="434E995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selection</w:t>
      </w:r>
      <w:r w:rsidRPr="77F39090" w:rsidR="434E995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will be conducted separately by sex to </w:t>
      </w:r>
      <w:r w:rsidRPr="77F39090" w:rsidR="434E995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identify</w:t>
      </w:r>
      <w:r w:rsidRPr="77F39090" w:rsidR="434E995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77F39090" w:rsidR="434E995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additional</w:t>
      </w:r>
      <w:r w:rsidRPr="77F39090" w:rsidR="434E995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covariates associated with stroke, with attention to limitations. Potential covariates include baseline BMI, coronary heart disease, smoking status, total cholesterol, and use of blood pressure medications. Multicollinearity will be assessed using variance inflation factors (VIF), and if VIF &gt; 10, only one of the correlated variables will be </w:t>
      </w:r>
      <w:r w:rsidRPr="77F39090" w:rsidR="434E995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retained</w:t>
      </w:r>
      <w:r w:rsidRPr="77F39090" w:rsidR="434E995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Analyses will use complete cases, and proportional hazards assumptions will be evaluated using Schoenfeld residuals. Results will be summarized using hazard ratios, 95% confidence intervals, and p-values (α = 0.05).</w:t>
      </w:r>
    </w:p>
    <w:p w:rsidR="434E9959" w:rsidP="77F39090" w:rsidRDefault="434E9959" w14:paraId="5C5BFCA9" w14:textId="23200A35">
      <w:pPr>
        <w:spacing w:before="0" w:beforeAutospacing="off" w:after="0" w:afterAutospacing="off" w:line="480" w:lineRule="auto"/>
        <w:ind w:firstLine="72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7F39090" w:rsidR="434E995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Ten-year stroke risk estimates will be calculated for ages 40, 50, and 60 under selected risk profiles: no baseline risk factors, high blood pressure (≥</w:t>
      </w:r>
      <w:r w:rsidRPr="77F39090" w:rsidR="434E995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160 mm</w:t>
      </w:r>
      <w:r w:rsidRPr="77F39090" w:rsidR="434E995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Hg), diabetes, both high blood pressure and diabetes, and one </w:t>
      </w:r>
      <w:r w:rsidRPr="77F39090" w:rsidR="434E995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additional</w:t>
      </w:r>
      <w:r w:rsidRPr="77F39090" w:rsidR="434E995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profile defined by the analyst</w:t>
      </w:r>
      <w:r w:rsidRPr="77F39090" w:rsidR="0DE21DB2">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post variable selection</w:t>
      </w:r>
      <w:r w:rsidRPr="77F39090" w:rsidR="434E995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p>
    <w:p w:rsidR="434E9959" w:rsidP="77F39090" w:rsidRDefault="434E9959" w14:paraId="1CCD4460" w14:textId="29C7210E">
      <w:pPr>
        <w:spacing w:before="0" w:beforeAutospacing="off" w:after="0" w:afterAutospacing="off" w:line="480" w:lineRule="auto"/>
        <w:ind w:firstLine="72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7F39090" w:rsidR="434E995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For the secondary analysis, data will be stratified by sex and study period. Summary statistics will be used to assess changes in </w:t>
      </w:r>
      <w:r w:rsidRPr="77F39090" w:rsidR="33839EF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systolic blood pressure and diabetes </w:t>
      </w:r>
      <w:r w:rsidRPr="77F39090" w:rsidR="434E995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across periods within each sex.</w:t>
      </w:r>
      <w:r w:rsidRPr="77F39090" w:rsidR="0A84D7C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These will be reported in a table.</w:t>
      </w:r>
    </w:p>
    <w:p w:rsidR="77F39090" w:rsidP="77F39090" w:rsidRDefault="77F39090" w14:paraId="2B469B6A" w14:textId="194FF8EC">
      <w:pPr>
        <w:spacing w:before="0" w:beforeAutospacing="off" w:after="0" w:afterAutospacing="off" w:line="480" w:lineRule="auto"/>
        <w:ind w:firstLine="72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77F39090" w:rsidP="77F39090" w:rsidRDefault="77F39090" w14:paraId="33C92BAD" w14:textId="2FC8249D">
      <w:pPr>
        <w:spacing w:before="0" w:beforeAutospacing="off" w:after="0" w:afterAutospacing="off" w:line="480" w:lineRule="auto"/>
        <w:ind w:firstLine="72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77F39090" w:rsidP="77F39090" w:rsidRDefault="77F39090" w14:paraId="7894D4ED" w14:textId="7DD99481">
      <w:pPr>
        <w:pStyle w:val="Normal"/>
      </w:pPr>
    </w:p>
    <w:sectPr>
      <w:pgSz w:w="12240" w:h="15840" w:orient="portrait"/>
      <w:pgMar w:top="1440" w:right="1440" w:bottom="1440" w:left="1440" w:header="720" w:footer="720" w:gutter="0"/>
      <w:cols w:space="720"/>
      <w:docGrid w:linePitch="360"/>
      <w:headerReference w:type="default" r:id="Raabc113e416e4dbd"/>
      <w:footerReference w:type="default" r:id="R770d63ae603544ac"/>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77F39090" w:rsidTr="77F39090" w14:paraId="7D3CE3B1">
      <w:trPr>
        <w:trHeight w:val="300"/>
      </w:trPr>
      <w:tc>
        <w:tcPr>
          <w:tcW w:w="3120" w:type="dxa"/>
          <w:tcMar/>
        </w:tcPr>
        <w:p w:rsidR="77F39090" w:rsidP="77F39090" w:rsidRDefault="77F39090" w14:paraId="3E1E772D" w14:textId="1D10CF48">
          <w:pPr>
            <w:pStyle w:val="Header"/>
            <w:bidi w:val="0"/>
            <w:ind w:left="-115"/>
            <w:jc w:val="left"/>
          </w:pPr>
        </w:p>
      </w:tc>
      <w:tc>
        <w:tcPr>
          <w:tcW w:w="3120" w:type="dxa"/>
          <w:tcMar/>
        </w:tcPr>
        <w:p w:rsidR="77F39090" w:rsidP="77F39090" w:rsidRDefault="77F39090" w14:paraId="58103217" w14:textId="294F06DF">
          <w:pPr>
            <w:pStyle w:val="Header"/>
            <w:bidi w:val="0"/>
            <w:jc w:val="center"/>
          </w:pPr>
        </w:p>
      </w:tc>
      <w:tc>
        <w:tcPr>
          <w:tcW w:w="3120" w:type="dxa"/>
          <w:tcMar/>
        </w:tcPr>
        <w:p w:rsidR="77F39090" w:rsidP="77F39090" w:rsidRDefault="77F39090" w14:paraId="44BF90E5" w14:textId="4BE497B2">
          <w:pPr>
            <w:pStyle w:val="Header"/>
            <w:bidi w:val="0"/>
            <w:ind w:right="-115"/>
            <w:jc w:val="right"/>
          </w:pPr>
        </w:p>
      </w:tc>
    </w:tr>
  </w:tbl>
  <w:p w:rsidR="77F39090" w:rsidP="77F39090" w:rsidRDefault="77F39090" w14:paraId="7DED577F" w14:textId="293D9AA7">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645"/>
      <w:gridCol w:w="2595"/>
      <w:gridCol w:w="3120"/>
    </w:tblGrid>
    <w:tr w:rsidR="77F39090" w:rsidTr="77F39090" w14:paraId="7E1E82D2">
      <w:trPr>
        <w:trHeight w:val="300"/>
      </w:trPr>
      <w:tc>
        <w:tcPr>
          <w:tcW w:w="3645" w:type="dxa"/>
          <w:tcMar/>
        </w:tcPr>
        <w:p w:rsidR="77F39090" w:rsidP="77F39090" w:rsidRDefault="77F39090" w14:paraId="32FF7C44" w14:textId="246EB4F5">
          <w:pPr>
            <w:pStyle w:val="Header"/>
            <w:tabs>
              <w:tab w:val="center" w:leader="none" w:pos="4680"/>
              <w:tab w:val="right" w:leader="none" w:pos="9360"/>
            </w:tabs>
            <w:bidi w:val="0"/>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7F39090" w:rsidR="77F39090">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Report generated on 04-20-2026</w:t>
          </w:r>
        </w:p>
      </w:tc>
      <w:tc>
        <w:tcPr>
          <w:tcW w:w="2595" w:type="dxa"/>
          <w:tcMar/>
        </w:tcPr>
        <w:p w:rsidR="77F39090" w:rsidP="77F39090" w:rsidRDefault="77F39090" w14:paraId="389A9C52" w14:textId="3809ACDF">
          <w:pPr>
            <w:pStyle w:val="Header"/>
            <w:bidi w:val="0"/>
            <w:jc w:val="center"/>
          </w:pPr>
        </w:p>
      </w:tc>
      <w:tc>
        <w:tcPr>
          <w:tcW w:w="3120" w:type="dxa"/>
          <w:tcMar/>
        </w:tcPr>
        <w:p w:rsidR="77F39090" w:rsidP="77F39090" w:rsidRDefault="77F39090" w14:paraId="7110B6DD" w14:textId="4B081DC4">
          <w:pPr>
            <w:pStyle w:val="Header"/>
            <w:bidi w:val="0"/>
            <w:ind w:right="-115"/>
            <w:jc w:val="right"/>
          </w:pPr>
        </w:p>
      </w:tc>
    </w:tr>
  </w:tbl>
  <w:p w:rsidR="77F39090" w:rsidP="77F39090" w:rsidRDefault="77F39090" w14:paraId="17A6800E" w14:textId="7F2D6976">
    <w:pPr>
      <w:pStyle w:val="Header"/>
      <w:bidi w:val="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D58A27A"/>
    <w:rsid w:val="078BCF58"/>
    <w:rsid w:val="086DD5D1"/>
    <w:rsid w:val="0A84D7CE"/>
    <w:rsid w:val="0CFE0A3E"/>
    <w:rsid w:val="0D4E1511"/>
    <w:rsid w:val="0DE21DB2"/>
    <w:rsid w:val="0FD1E96E"/>
    <w:rsid w:val="1D58A27A"/>
    <w:rsid w:val="1E76E1BB"/>
    <w:rsid w:val="200E17F5"/>
    <w:rsid w:val="20B0A2E6"/>
    <w:rsid w:val="26A70784"/>
    <w:rsid w:val="2B8224C6"/>
    <w:rsid w:val="2EDC51B5"/>
    <w:rsid w:val="3074EBEC"/>
    <w:rsid w:val="327E03DF"/>
    <w:rsid w:val="33839EF8"/>
    <w:rsid w:val="33E675C6"/>
    <w:rsid w:val="350E2535"/>
    <w:rsid w:val="356DE972"/>
    <w:rsid w:val="3B57D6DC"/>
    <w:rsid w:val="434E9959"/>
    <w:rsid w:val="477A0C9B"/>
    <w:rsid w:val="4A901880"/>
    <w:rsid w:val="4AB6DEFD"/>
    <w:rsid w:val="4C77B953"/>
    <w:rsid w:val="4FC8A1BE"/>
    <w:rsid w:val="51CCBA88"/>
    <w:rsid w:val="54334298"/>
    <w:rsid w:val="57228F78"/>
    <w:rsid w:val="57573FE2"/>
    <w:rsid w:val="5C4A2451"/>
    <w:rsid w:val="5D5DF8B8"/>
    <w:rsid w:val="5FDEC220"/>
    <w:rsid w:val="6E3828F1"/>
    <w:rsid w:val="77F39090"/>
    <w:rsid w:val="780CFBDD"/>
    <w:rsid w:val="7909ADAF"/>
    <w:rsid w:val="79E60182"/>
    <w:rsid w:val="7E8668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8A27A"/>
  <w15:chartTrackingRefBased/>
  <w15:docId w15:val="{54F32DFD-8FA7-447D-ADA9-7EC8C361DFD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uiPriority w:val="99"/>
    <w:name w:val="header"/>
    <w:basedOn w:val="Normal"/>
    <w:unhideWhenUsed/>
    <w:rsid w:val="77F39090"/>
    <w:pPr>
      <w:tabs>
        <w:tab w:val="center" w:leader="none" w:pos="4680"/>
        <w:tab w:val="right" w:leader="none" w:pos="9360"/>
      </w:tabs>
      <w:spacing w:after="0" w:line="240" w:lineRule="auto"/>
    </w:pPr>
  </w:style>
  <w:style w:type="paragraph" w:styleId="Footer">
    <w:uiPriority w:val="99"/>
    <w:name w:val="footer"/>
    <w:basedOn w:val="Normal"/>
    <w:unhideWhenUsed/>
    <w:rsid w:val="77F39090"/>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eader" Target="header.xml" Id="Raabc113e416e4dbd" /><Relationship Type="http://schemas.openxmlformats.org/officeDocument/2006/relationships/footer" Target="footer.xml" Id="R770d63ae603544ac"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2026-04-20T18:12:05.8511525Z</dcterms:created>
  <dcterms:modified xsi:type="dcterms:W3CDTF">2026-04-20T18:41:46.4966762Z</dcterms:modified>
  <dc:creator>Robledo, Kayla</dc:creator>
  <lastModifiedBy>Robledo, Kayla</lastModifiedBy>
</coreProperties>
</file>