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D468E7" wp14:paraId="46E546F8" wp14:textId="7276C8A4">
      <w:pPr>
        <w:pStyle w:val="Heading1"/>
        <w:shd w:val="clear" w:color="auto" w:fill="FFFFFF" w:themeFill="background1"/>
        <w:spacing w:before="225" w:beforeAutospacing="off" w:after="225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Project 1 Description</w:t>
      </w:r>
    </w:p>
    <w:p xmlns:wp14="http://schemas.microsoft.com/office/word/2010/wordml" w:rsidP="46D468E7" wp14:paraId="778D22E5" wp14:textId="0EF15DF8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Data Overview: This project is a secondary data analysis of the Multicenter AIDS Cohort Study, an ongoing prospective cohort study of the natural and treated histories of HIV-1 infection in homosexual and bisexual men in 4 major cities in the United States. </w:t>
      </w:r>
    </w:p>
    <w:p xmlns:wp14="http://schemas.microsoft.com/office/word/2010/wordml" w:rsidP="46D468E7" wp14:paraId="26CE6E15" wp14:textId="3EBE39D7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46D468E7" wp14:paraId="43857C04" wp14:textId="13B06AE6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Highly active antiretroviral treatment (HAART) is the standard treatment for HIV infected patients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Our dataset includes up to 8 years of longitudinal laboratory and quality of life measures, as well as demographic and other health information, on HIV infected men after beginning HAART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subjects were seen annually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Year 0 data are from the subjects’ last untreated visit, just before beginning HAART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All other visits (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year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 up to 8) are on treatment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</w:p>
    <w:p xmlns:wp14="http://schemas.microsoft.com/office/word/2010/wordml" w:rsidP="46D468E7" wp14:paraId="7CC9A2A5" wp14:textId="364DFB82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46D468E7" wp14:paraId="21AA9C61" wp14:textId="1693348F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Question of Interest: We are interested in understanding how treatment response 2 years after 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initiating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HAART differs between subjects who report using hard drugs, such as 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heroine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cocaine, at baseline and other subjects, who did not report hard drug use at baseline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</w:p>
    <w:p xmlns:wp14="http://schemas.microsoft.com/office/word/2010/wordml" w:rsidP="46D468E7" wp14:paraId="4E041195" wp14:textId="76739C2C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46D468E7" wp14:paraId="69423F60" wp14:textId="2C5CBB1D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Biologic Motivation: There is limited evidence from laboratory in vitro and animal studies that the use of hard drugs inhibits the immune system and increases HIV replication; however, results have not been clear in human studies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drug users have poor treatment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response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compared to others, we may need to consider more aggressive treatment strategies or more actively encourage patients to enroll in drug rehabilitation programs.</w:t>
      </w:r>
    </w:p>
    <w:p xmlns:wp14="http://schemas.microsoft.com/office/word/2010/wordml" w:rsidP="46D468E7" wp14:paraId="36E7336A" wp14:textId="5B55E709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46D468E7" wp14:paraId="44B3E976" wp14:textId="42F5CAE5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Information about variables: We have 4 measures of treatment response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first two are laboratory measures, viral load (VLOAD), which is the number of HIV copies in a mL of blood, and the second is CD4+ T cell count (LEU3N), a measure of immunologic health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 untreated HIV infection, viral load increases over time and CD4+ T cell counts decline as the immune system is attacked by the virus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Once treatment is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initiated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we expect viral load to decrease rapidly and CD4 counts to recover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Our last two measures are quality of life measures from the SF-36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first is the aggregate physical quality of life score (AGG_PHYS) and the second is the aggregate mental quality of life score (AGG_MENT)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These scores range from 0 to 100, with higher scores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indicating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better quality of life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We are not sure what happens to quality of life after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initiating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treatment - while in theory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subjects’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improving health should result in increased quality of life, the side effects of these treatments are significant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subjects experience declines in quality of life after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initiating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treatment</w:t>
      </w: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 would be concerned that they would stop treatment.</w:t>
      </w:r>
    </w:p>
    <w:p xmlns:wp14="http://schemas.microsoft.com/office/word/2010/wordml" w:rsidP="46D468E7" wp14:paraId="0BFCCBAA" wp14:textId="5A2BB640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46D468E7" wp14:paraId="7CC5E841" wp14:textId="66A3FF2A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Some of our 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colleague’s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statistical team 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has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been doing their 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analysis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Bayesian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We are 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requesting</w:t>
      </w:r>
      <w:r w:rsidRPr="46D468E7" w:rsidR="604AD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the analysis be done in both a Bayesian and non-Bayesian framework and compared.</w:t>
      </w:r>
    </w:p>
    <w:p xmlns:wp14="http://schemas.microsoft.com/office/word/2010/wordml" w:rsidP="46D468E7" wp14:paraId="2C078E63" wp14:textId="17C0F01F">
      <w:pPr>
        <w:rPr>
          <w:rFonts w:ascii="Times New Roman" w:hAnsi="Times New Roman" w:eastAsia="Times New Roman" w:cs="Times New Roman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E679D2"/>
    <w:rsid w:val="16E679D2"/>
    <w:rsid w:val="46D468E7"/>
    <w:rsid w:val="604AD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79D2"/>
  <w15:chartTrackingRefBased/>
  <w15:docId w15:val="{0FBD1AB0-8D23-49DE-A7BA-9BB830931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D468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6D468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2026-02-09T19:11:11.6542034Z</dcterms:created>
  <dcterms:modified xsi:type="dcterms:W3CDTF">2026-02-09T19:12:37.0357333Z</dcterms:modified>
  <dc:creator>Robledo, Kayla</dc:creator>
  <lastModifiedBy>Robledo, Kayla</lastModifiedBy>
</coreProperties>
</file>