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e" w:val="clear"/>
        <w:spacing w:line="325.71428571428567" w:lineRule="auto"/>
        <w:rPr/>
      </w:pPr>
      <w:bookmarkStart w:colFirst="0" w:colLast="0" w:name="_bhl4kcsiun97" w:id="0"/>
      <w:bookmarkEnd w:id="0"/>
      <w:r w:rsidDel="00000000" w:rsidR="00000000" w:rsidRPr="00000000">
        <w:rPr>
          <w:rtl w:val="0"/>
        </w:rPr>
        <w:t xml:space="preserve">Ticketera</w:t>
      </w:r>
    </w:p>
    <w:p w:rsidR="00000000" w:rsidDel="00000000" w:rsidP="00000000" w:rsidRDefault="00000000" w:rsidRPr="00000000" w14:paraId="00000002">
      <w:pPr>
        <w:pStyle w:val="Heading2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3oum4wtbua1s" w:id="1"/>
      <w:bookmarkEnd w:id="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Listado y descripción de funcionalidades base a suplir para versión 1. Complementar detalle con archivo osticket.</w:t>
      </w:r>
    </w:p>
    <w:p w:rsidR="00000000" w:rsidDel="00000000" w:rsidP="00000000" w:rsidRDefault="00000000" w:rsidRPr="00000000" w14:paraId="00000003">
      <w:pPr>
        <w:pStyle w:val="Heading2"/>
        <w:shd w:fill="fffffe" w:val="clear"/>
        <w:spacing w:line="325.71428571428567" w:lineRule="auto"/>
        <w:rPr/>
      </w:pPr>
      <w:bookmarkStart w:colFirst="0" w:colLast="0" w:name="_oxhljiporvmz" w:id="2"/>
      <w:bookmarkEnd w:id="2"/>
      <w:r w:rsidDel="00000000" w:rsidR="00000000" w:rsidRPr="00000000">
        <w:rPr>
          <w:rtl w:val="0"/>
        </w:rPr>
        <w:t xml:space="preserve">6. Panel de Administración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1"/>
          <w:szCs w:val="21"/>
          <w:rtl w:val="0"/>
        </w:rPr>
        <w:t xml:space="preserve">6.1 Ajustes del sistema: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Configuración global del software, incluyendo parámetros de seguridad, idioma local (Espanol - preparado para migrar a otros), zona horaria y personalización de marca (logotipo y colores corporativos).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1"/>
          <w:szCs w:val="21"/>
          <w:rtl w:val="0"/>
        </w:rPr>
        <w:t xml:space="preserve">6.2 Configuración de correo electrónico: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Gestión de servidores SMTP/IMAP para la recepción automática de casos y el envío de notificaciones salientes a clientes y agentes.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1"/>
          <w:szCs w:val="21"/>
          <w:rtl w:val="0"/>
        </w:rPr>
        <w:t xml:space="preserve">6.4 Gestión de departamentos: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Organización lógica del soporte en áreas especializadas (ej. IT, Finanzas, Ventas), permitiendo segmentar el acceso y la visibilidad de la información.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**6.5 Gestión de equipos (Teams):**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Agrupación transversal de agentes de distintos departamentos para colaborar en proyectos específicos o flujos de trabajo interdisciplinarios.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**6.6 Administración de agentes:**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Módulo central para dar de alta, editar o suspender cuentas de los técnicos de soporte, gestionando sus perfiles y disponibilidad.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**6.7 Definición de roles y permisos:**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Control de acceso granular (RBAC) para determinar qué acciones exactas puede realizar cada usuario dentro de la plataforma de gestión.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**6.9 SLA (Acuerdos de Nivel de Servicio):**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Definición de tiempos máximos de respuesta y resolución para garantizar el cumplimiento de los estándares de servicio prometidos al cliente.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**6.10 Horarios de atención:**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Configuración de jornadas laborales, días festivos y pausas para que los cronómetros de los SLA se calculen de forma precisa y justa.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hd w:fill="fffffe" w:val="clear"/>
        <w:spacing w:line="325.71428571428567" w:lineRule="auto"/>
        <w:rPr/>
      </w:pPr>
      <w:bookmarkStart w:colFirst="0" w:colLast="0" w:name="_jjifniubombp" w:id="3"/>
      <w:bookmarkEnd w:id="3"/>
      <w:r w:rsidDel="00000000" w:rsidR="00000000" w:rsidRPr="00000000">
        <w:rPr>
          <w:rtl w:val="0"/>
        </w:rPr>
        <w:t xml:space="preserve">7. Gestión de Tickets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**7.1 Ciclo de vida de un ticket:**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Seguimiento integral del flujo de trabajo, desde la apertura del caso hasta su resolución final y posterior cierre administrativo.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**7.2 Creación vía portal web:**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Interfaz de autoservicio donde el usuario final puede completar un formulario estructurado para reportar incidencias o solicitar servicios.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**7.4 Creación desde la interfaz de agente:**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Funcionalidad que permite a los técnicos abrir tickets manualmente tras recibir llamadas telefónicas o consultas presenciales.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**7.5 Estados del ticket:**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Personalización de las etapas del flujo (ej. En Progreso, Pendiente de Cliente, En Espera de Terceros) para reflejar la situación real de cada caso.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**7.6 Niveles de prioridad:**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Clasificación de los tickets según su urgencia e impacto (Baja, Media, Alta, Emergencia) para priorizar la atención de los problemas más críticos.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**7.7 Asignación y reasignación:**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Motor de distribución que permite delegar la responsabilidad de un ticket a un agente específico o moverlo a otro técnico si el caso escala.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**7.8 Respuestas y notas internas:**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Diferenciación entre la comunicación directa con el cliente y los comentarios privados entre técnicos para la colaboración y el registro técnico.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**7.10 Transferencia entre departamentos:**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Capacidad de mover un ticket entre distintas áreas de la empresa sin perder el historial de actividad ni la trazabilidad de la incidencia.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**7.11 Vinculación de tickets relacionados:**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Herramienta para conectar casos similares o dependientes, permitiendo identificar problemas raíz o gestionar múltiples reportes de una misma falla masiva.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hd w:fill="fffffe" w:val="clear"/>
        <w:spacing w:line="325.71428571428567" w:lineRule="auto"/>
        <w:rPr/>
      </w:pPr>
      <w:bookmarkStart w:colFirst="0" w:colLast="0" w:name="_moi2u78s2qte" w:id="4"/>
      <w:bookmarkEnd w:id="4"/>
      <w:r w:rsidDel="00000000" w:rsidR="00000000" w:rsidRPr="00000000">
        <w:rPr>
          <w:rtl w:val="0"/>
        </w:rPr>
        <w:t xml:space="preserve">8. Portal de Clientes (Usuarios Finales)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**Seguimiento y autoservicio:**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Espacio privado para que los usuarios consulten el historial de sus solicitudes, vean el estado actual de sus tickets y respondan directamente a los agentes sin usar el correo.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hd w:fill="fffffe" w:val="clear"/>
        <w:spacing w:line="325.71428571428567" w:lineRule="auto"/>
        <w:rPr/>
      </w:pPr>
      <w:bookmarkStart w:colFirst="0" w:colLast="0" w:name="_1bibq9fo7h3i" w:id="5"/>
      <w:bookmarkEnd w:id="5"/>
      <w:r w:rsidDel="00000000" w:rsidR="00000000" w:rsidRPr="00000000">
        <w:rPr>
          <w:rtl w:val="0"/>
        </w:rPr>
        <w:t xml:space="preserve">10. Reportes y Análisis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**KPIs de rendimiento:**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Cuadros de mando que miden métricas clave como el tiempo de primera respuesta (FRT) y el tiempo medio de resolución (MTTR) de cada agente.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**Volumen y tendencias:**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Gráficos que muestran la carga de trabajo histórica, permitiendo identificar horas pico y los tipos de problemas más recurrentes para mejorar la prevención.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e" w:val="clear"/>
        <w:spacing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**Satisfacción del cliente (CSAT):**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Recopilación y análisis de encuestas enviadas tras el cierre de cada ticket para medir la percepción de calidad del servicio brindado.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