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B5C"/>
        </w:rPr>
        <w:t>Mission Control — April 10, 2026</w:t>
      </w:r>
    </w:p>
    <w:p>
      <w:r>
        <w:rPr>
          <w:b/>
          <w:color w:val="C59E3C"/>
          <w:sz w:val="26"/>
        </w:rPr>
        <w:t>Daily Autonomous Task Execution Report</w:t>
      </w:r>
    </w:p>
    <w:p/>
    <w:p>
      <w:pPr>
        <w:pStyle w:val="Heading2"/>
      </w:pPr>
      <w:r>
        <w:rPr>
          <w:color w:val="002B5C"/>
        </w:rPr>
        <w:t>COMPLETED THIS MORNING</w:t>
      </w:r>
    </w:p>
    <w:p>
      <w:r>
        <w:rPr>
          <w:b/>
          <w:color w:val="FF6B00"/>
        </w:rPr>
        <w:t>1. MOSE Day 1 — 13F Pull &amp; Convergence Analysis</w:t>
      </w:r>
    </w:p>
    <w:p>
      <w:r>
        <w:t>Pulled latest Q4 2025 13F filings from SEC EDGAR for 9 super investors (Buffett, Li Lu, Pabrai, Akre, Klarman, Ackman, Gayner, Bloomstran, Hohn). Built convergence scoring across 109 unique stocks. Key finding: 12 of 14 multi-investor stocks are in Joe's April 30 portfolio — massive validation. GOOG is the #1 convergence signal (5 investors). Two new signals: HCC and VAL (recommended pass for both).</w:t>
      </w:r>
    </w:p>
    <w:p>
      <w:r>
        <w:rPr>
          <w:color w:val="666666"/>
          <w:sz w:val="18"/>
        </w:rPr>
        <w:t>File: projects/investing/MOSE_Convergence_Report_2026-04-10.docx + mose-convergence-chart + mose-13f-raw.json</w:t>
      </w:r>
    </w:p>
    <w:p>
      <w:r>
        <w:rPr>
          <w:b/>
          <w:color w:val="FF6B00"/>
        </w:rPr>
        <w:t>2. Schwab vs Fidelity Brokerage API Research</w:t>
      </w:r>
    </w:p>
    <w:p>
      <w:r>
        <w:t>Joe needs API access when going self-directed. Schwab wins: has a public developer portal (developer.schwab.com) with full OAuth 2.0 API for positions, orders, market data, and streaming. Fidelity has NO individual developer API. Recommendation: Open Schwab, transfer via ACAT from Truist.</w:t>
      </w:r>
    </w:p>
    <w:p>
      <w:r>
        <w:rPr>
          <w:color w:val="666666"/>
          <w:sz w:val="18"/>
        </w:rPr>
        <w:t>File: projects/investing/schwab-vs-fidelity-api-research.md</w:t>
      </w:r>
    </w:p>
    <w:p>
      <w:r>
        <w:rPr>
          <w:b/>
          <w:color w:val="FF6B00"/>
        </w:rPr>
        <w:t>3. Lumber Market Intelligence</w:t>
      </w:r>
    </w:p>
    <w:p>
      <w:r>
        <w:t>Lumber at $581/MBF, down 2% this month. Housing starts collapsed 14.2%, permits down 5.4%. Mortgage rates 6.46% killing demand. Canadian $2.1B forestry subsidies adding supply pressure. 45% tariff still in effect but can't support prices against demand destruction. Spring pricing window is narrowing — residential season may be weaker than expected.</w:t>
      </w:r>
    </w:p>
    <w:p>
      <w:r>
        <w:rPr>
          <w:color w:val="666666"/>
          <w:sz w:val="18"/>
        </w:rPr>
        <w:t>File: Logged to memory/2026-04-10.md</w:t>
      </w:r>
    </w:p>
    <w:p>
      <w:r>
        <w:rPr>
          <w:b/>
          <w:color w:val="FF6B00"/>
        </w:rPr>
        <w:t>4. Market Snapshot for Portfolio Monitoring</w:t>
      </w:r>
    </w:p>
    <w:p>
      <w:r>
        <w:t>S&amp;P 6,853 (up 3.96% from Joe's 6,591.90 exit). Dow ~46,705 (up ~0.6%). Iran ceasefire holding — markets steady. 20 days to April 30 execution. Joe is still beating treasuries on the sideline but the gap is narrowing.</w:t>
      </w:r>
    </w:p>
    <w:p>
      <w:r>
        <w:rPr>
          <w:color w:val="666666"/>
          <w:sz w:val="18"/>
        </w:rPr>
        <w:t>File: Tracked in morning rundown</w:t>
      </w:r>
    </w:p>
    <w:p/>
    <w:p>
      <w:pPr>
        <w:pStyle w:val="Heading2"/>
      </w:pPr>
      <w:r>
        <w:rPr>
          <w:color w:val="002B5C"/>
        </w:rPr>
        <w:t>IN PROGRESS</w:t>
      </w:r>
    </w:p>
    <w:p>
      <w:pPr>
        <w:pStyle w:val="ListBullet"/>
      </w:pPr>
      <w:r>
        <w:t>MOSE Sprint Day 2 (tomorrow) — DCF + margin of safety scoring on all convergence stocks</w:t>
      </w:r>
    </w:p>
    <w:p>
      <w:pPr>
        <w:pStyle w:val="ListBullet"/>
      </w:pPr>
      <w:r>
        <w:t>MOSE Sprint Day 3 (Sunday) — Dashboard build + April 30 final recommendations</w:t>
      </w:r>
    </w:p>
    <w:p>
      <w:pPr>
        <w:pStyle w:val="ListBullet"/>
      </w:pPr>
      <w:r>
        <w:t>ReBolt renders — v6 approved, cable retention feature added, Greg patent call pending</w:t>
      </w:r>
    </w:p>
    <w:p>
      <w:pPr>
        <w:pStyle w:val="ListBullet"/>
      </w:pPr>
      <w:r>
        <w:t>Research Department setup — Desk 2 and Desk 3 topics to be selected</w:t>
      </w:r>
    </w:p>
    <w:p/>
    <w:p>
      <w:pPr>
        <w:pStyle w:val="Heading2"/>
      </w:pPr>
      <w:r>
        <w:rPr>
          <w:color w:val="002B5C"/>
        </w:rPr>
        <w:t>WATCHING</w:t>
      </w:r>
    </w:p>
    <w:p>
      <w:pPr>
        <w:pStyle w:val="ListBullet"/>
      </w:pPr>
      <w:r>
        <w:t>S&amp;P vs exit baseline: 6,853 vs 6,591.90 (+3.96%) — gap widening but 20 days to go</w:t>
      </w:r>
    </w:p>
    <w:p>
      <w:pPr>
        <w:pStyle w:val="ListBullet"/>
      </w:pPr>
      <w:r>
        <w:t>Lumber futures: $581, downtrend. Spring demand underwhelming.</w:t>
      </w:r>
    </w:p>
    <w:p>
      <w:pPr>
        <w:pStyle w:val="ListBullet"/>
      </w:pPr>
      <w:r>
        <w:t>Iran ceasefire status — holding, oil down 15%, positive for markets</w:t>
      </w:r>
    </w:p>
    <w:p>
      <w:pPr>
        <w:pStyle w:val="ListBullet"/>
      </w:pPr>
      <w:r>
        <w:t>Constellation Software (CSU) — still 55% off highs after Leonard departure</w:t>
      </w:r>
    </w:p>
    <w:p/>
    <w:p>
      <w:pPr>
        <w:pStyle w:val="Heading2"/>
      </w:pPr>
      <w:r>
        <w:rPr>
          <w:color w:val="002B5C"/>
        </w:rPr>
        <w:t>NEEDS JOE</w:t>
      </w:r>
    </w:p>
    <w:p>
      <w:pPr>
        <w:pStyle w:val="ListBullet"/>
      </w:pPr>
      <w:r>
        <w:t>Send Truist portfolio statements (all accounts) so we can set MOSE baseline positions</w:t>
      </w:r>
    </w:p>
    <w:p>
      <w:pPr>
        <w:pStyle w:val="ListBullet"/>
      </w:pPr>
      <w:r>
        <w:t>Send John Kon the letter to go self-directed — SCHWAB recommended (has API)</w:t>
      </w:r>
    </w:p>
    <w:p>
      <w:pPr>
        <w:pStyle w:val="ListBullet"/>
      </w:pPr>
      <w:r>
        <w:t>Call Greg (patent attorney) — add cable retention mechanism to provisional patent</w:t>
      </w:r>
    </w:p>
    <w:p>
      <w:pPr>
        <w:pStyle w:val="ListBullet"/>
      </w:pPr>
      <w:r>
        <w:t>Add $10-20 to fal.ai billing for image generation credits</w:t>
      </w:r>
    </w:p>
    <w:p>
      <w:pPr>
        <w:pStyle w:val="ListBullet"/>
      </w:pPr>
      <w:r>
        <w:t>Pick topics for Research Department Desks 2 and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